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1239" w14:textId="77777777" w:rsidR="00833F58" w:rsidRDefault="001C657A" w:rsidP="0002329E">
      <w:pPr>
        <w:jc w:val="both"/>
      </w:pPr>
      <w:r>
        <w:t>Palabras de José</w:t>
      </w:r>
      <w:r w:rsidR="001A68AF">
        <w:t xml:space="preserve"> Antonio Guevara</w:t>
      </w:r>
    </w:p>
    <w:p w14:paraId="44930B52" w14:textId="77777777" w:rsidR="001A68AF" w:rsidRDefault="001A68AF" w:rsidP="0002329E">
      <w:pPr>
        <w:jc w:val="both"/>
      </w:pPr>
      <w:r>
        <w:t>Conferencia de Prensa #</w:t>
      </w:r>
      <w:proofErr w:type="spellStart"/>
      <w:r>
        <w:t>SeguridadSinGuerra</w:t>
      </w:r>
      <w:proofErr w:type="spellEnd"/>
    </w:p>
    <w:p w14:paraId="582610DE" w14:textId="77777777" w:rsidR="001A68AF" w:rsidRDefault="001A68AF" w:rsidP="0002329E">
      <w:pPr>
        <w:jc w:val="both"/>
      </w:pPr>
      <w:r>
        <w:t>Lunes 27 de noviembre 2017</w:t>
      </w:r>
    </w:p>
    <w:p w14:paraId="47620ACF" w14:textId="77777777" w:rsidR="00074566" w:rsidRDefault="00074566" w:rsidP="0002329E">
      <w:pPr>
        <w:jc w:val="both"/>
      </w:pPr>
    </w:p>
    <w:p w14:paraId="17459233" w14:textId="77777777" w:rsidR="001C657A" w:rsidRDefault="009F7E66" w:rsidP="0002329E">
      <w:pPr>
        <w:spacing w:line="276" w:lineRule="auto"/>
        <w:jc w:val="both"/>
      </w:pPr>
      <w:r>
        <w:t xml:space="preserve">Esta Ley de Seguridad Interior no es una Ley que busca proteger a las personas, </w:t>
      </w:r>
      <w:r w:rsidR="005B579B">
        <w:t xml:space="preserve">que busca proteger a la población civil y que busca proteger </w:t>
      </w:r>
      <w:r w:rsidR="00962FB7">
        <w:t xml:space="preserve">ni </w:t>
      </w:r>
      <w:r w:rsidR="005B579B">
        <w:t>a los bienes y negocios de nadie, no es una ley que resuelve el problema de</w:t>
      </w:r>
      <w:r w:rsidR="00962FB7">
        <w:t xml:space="preserve"> la seguridad pública en México. S</w:t>
      </w:r>
      <w:r w:rsidR="005B579B">
        <w:t xml:space="preserve">e trata de una ley a modo para garantizar la impunidad y la dependencia de la clase política </w:t>
      </w:r>
      <w:r w:rsidR="00962FB7">
        <w:t>a</w:t>
      </w:r>
      <w:r w:rsidR="005B579B">
        <w:t xml:space="preserve"> los militares, es una ley de guerra, es una ley para la guerra, no hay otra forma de que esta legislación se pueda ver, sino una ley militar, para militarizar la seguridad pública.</w:t>
      </w:r>
    </w:p>
    <w:p w14:paraId="630670B0" w14:textId="77777777" w:rsidR="005B579B" w:rsidRDefault="00973737" w:rsidP="00973737">
      <w:pPr>
        <w:spacing w:line="276" w:lineRule="auto"/>
        <w:jc w:val="center"/>
      </w:pPr>
      <w:r>
        <w:t>***</w:t>
      </w:r>
    </w:p>
    <w:p w14:paraId="091DF8B1" w14:textId="77777777" w:rsidR="001C657A" w:rsidRDefault="00053DFB" w:rsidP="0002329E">
      <w:pPr>
        <w:spacing w:line="276" w:lineRule="auto"/>
        <w:jc w:val="both"/>
      </w:pPr>
      <w:r>
        <w:t xml:space="preserve">En el </w:t>
      </w:r>
      <w:r w:rsidR="004F3183">
        <w:t>colectivo #</w:t>
      </w:r>
      <w:proofErr w:type="spellStart"/>
      <w:r w:rsidR="004F3183">
        <w:t>SeguridadSinGuerra</w:t>
      </w:r>
      <w:proofErr w:type="spellEnd"/>
      <w:r w:rsidR="004F3183">
        <w:t xml:space="preserve"> </w:t>
      </w:r>
      <w:r w:rsidR="005D73C8">
        <w:t xml:space="preserve">creemos </w:t>
      </w:r>
      <w:r w:rsidR="004F3183">
        <w:t xml:space="preserve">que </w:t>
      </w:r>
      <w:r w:rsidR="005D73C8">
        <w:t xml:space="preserve">esta legislación </w:t>
      </w:r>
      <w:r w:rsidR="004F3183">
        <w:t xml:space="preserve">tiene serios </w:t>
      </w:r>
      <w:r w:rsidR="002A4311">
        <w:t>problemas de constitucionalidad. C</w:t>
      </w:r>
      <w:r w:rsidR="0024669E">
        <w:t xml:space="preserve">on este nuevo dictamen he </w:t>
      </w:r>
      <w:r w:rsidR="00166A15">
        <w:t>encontrado</w:t>
      </w:r>
      <w:r w:rsidR="0024669E">
        <w:t xml:space="preserve"> por lo menos 12 problemas</w:t>
      </w:r>
      <w:r w:rsidR="002A4311">
        <w:t xml:space="preserve"> de constitucionalidad</w:t>
      </w:r>
      <w:r w:rsidR="0024669E">
        <w:t>:</w:t>
      </w:r>
    </w:p>
    <w:p w14:paraId="5DDA4F3A" w14:textId="77777777" w:rsidR="00166A15" w:rsidRDefault="002A4311" w:rsidP="0002329E">
      <w:pPr>
        <w:pStyle w:val="Prrafodelista"/>
        <w:numPr>
          <w:ilvl w:val="0"/>
          <w:numId w:val="1"/>
        </w:numPr>
        <w:spacing w:line="276" w:lineRule="auto"/>
        <w:jc w:val="both"/>
      </w:pPr>
      <w:r>
        <w:t>El</w:t>
      </w:r>
      <w:r w:rsidR="00166A15">
        <w:t xml:space="preserve"> legislativo no tiene competencia para legislar en esta materia.</w:t>
      </w:r>
    </w:p>
    <w:p w14:paraId="1B1E555D" w14:textId="77777777" w:rsidR="0024669E" w:rsidRDefault="002A4311" w:rsidP="0002329E">
      <w:pPr>
        <w:pStyle w:val="Prrafodelista"/>
        <w:numPr>
          <w:ilvl w:val="0"/>
          <w:numId w:val="1"/>
        </w:numPr>
        <w:spacing w:line="276" w:lineRule="auto"/>
        <w:jc w:val="both"/>
      </w:pPr>
      <w:r>
        <w:t>Se regulan actividades propias</w:t>
      </w:r>
      <w:r w:rsidR="005D73C8">
        <w:t xml:space="preserve"> que corresp</w:t>
      </w:r>
      <w:r>
        <w:t>onden a las autoridades civiles, según el artículo 21 constitucional y ahora se le otorgarían esas atribuciones a los militares.</w:t>
      </w:r>
    </w:p>
    <w:p w14:paraId="75BD9CD6" w14:textId="77777777" w:rsidR="005D73C8" w:rsidRDefault="005D73C8" w:rsidP="0002329E">
      <w:pPr>
        <w:pStyle w:val="Prrafodelista"/>
        <w:numPr>
          <w:ilvl w:val="0"/>
          <w:numId w:val="1"/>
        </w:numPr>
        <w:spacing w:line="276" w:lineRule="auto"/>
        <w:jc w:val="both"/>
      </w:pPr>
      <w:r>
        <w:t xml:space="preserve">Se está legislando en una materia que es </w:t>
      </w:r>
      <w:r w:rsidR="002A4311">
        <w:t xml:space="preserve">competencia </w:t>
      </w:r>
      <w:r>
        <w:t>exclusiva del Ejecutivo Federal</w:t>
      </w:r>
      <w:r w:rsidR="002A4311">
        <w:t>,</w:t>
      </w:r>
      <w:r>
        <w:t xml:space="preserve"> de acuerdo al </w:t>
      </w:r>
      <w:r w:rsidR="002A4311">
        <w:t xml:space="preserve">artículo </w:t>
      </w:r>
      <w:r>
        <w:t>89 constitucional</w:t>
      </w:r>
      <w:r w:rsidR="002A4311">
        <w:t>.</w:t>
      </w:r>
    </w:p>
    <w:p w14:paraId="0636A599" w14:textId="77777777" w:rsidR="005D73C8" w:rsidRDefault="005D73C8" w:rsidP="0002329E">
      <w:pPr>
        <w:pStyle w:val="Prrafodelista"/>
        <w:numPr>
          <w:ilvl w:val="0"/>
          <w:numId w:val="1"/>
        </w:numPr>
        <w:spacing w:line="276" w:lineRule="auto"/>
        <w:jc w:val="both"/>
      </w:pPr>
      <w:r>
        <w:t xml:space="preserve">Se normaliza el estado de excepción y suspensión de derechos a los que se refiere el artículo </w:t>
      </w:r>
      <w:r w:rsidR="002A4311">
        <w:t>29 constitucional.</w:t>
      </w:r>
      <w:r>
        <w:t xml:space="preserve"> </w:t>
      </w:r>
    </w:p>
    <w:p w14:paraId="797B88C3" w14:textId="77777777" w:rsidR="005D73C8" w:rsidRDefault="005D73C8" w:rsidP="0002329E">
      <w:pPr>
        <w:pStyle w:val="Prrafodelista"/>
        <w:numPr>
          <w:ilvl w:val="0"/>
          <w:numId w:val="1"/>
        </w:numPr>
        <w:spacing w:line="276" w:lineRule="auto"/>
        <w:jc w:val="both"/>
      </w:pPr>
      <w:r>
        <w:t xml:space="preserve">Permite </w:t>
      </w:r>
      <w:r w:rsidR="002A4311">
        <w:t>que el</w:t>
      </w:r>
      <w:r>
        <w:t xml:space="preserve"> Ejército, sin facultades constitucionales </w:t>
      </w:r>
      <w:r w:rsidR="002A4311">
        <w:t xml:space="preserve">y </w:t>
      </w:r>
      <w:r>
        <w:t>sin controles judiciales</w:t>
      </w:r>
      <w:r w:rsidR="002A4311">
        <w:t xml:space="preserve"> para ello,</w:t>
      </w:r>
      <w:r>
        <w:t xml:space="preserve"> p</w:t>
      </w:r>
      <w:r w:rsidR="002A4311">
        <w:t xml:space="preserve">ueda intervenir llamadas, </w:t>
      </w:r>
      <w:r>
        <w:t>correos electró</w:t>
      </w:r>
      <w:r w:rsidR="002A4311">
        <w:t>nicos</w:t>
      </w:r>
      <w:r>
        <w:t xml:space="preserve"> </w:t>
      </w:r>
      <w:r w:rsidR="002A4311">
        <w:t>y</w:t>
      </w:r>
      <w:r>
        <w:t xml:space="preserve"> hacer espionaje</w:t>
      </w:r>
      <w:r w:rsidR="002A4311">
        <w:t>.</w:t>
      </w:r>
    </w:p>
    <w:p w14:paraId="133AAB29" w14:textId="77777777" w:rsidR="0002329E" w:rsidRDefault="005D73C8" w:rsidP="0002329E">
      <w:pPr>
        <w:pStyle w:val="Prrafodelista"/>
        <w:numPr>
          <w:ilvl w:val="0"/>
          <w:numId w:val="1"/>
        </w:numPr>
        <w:spacing w:line="276" w:lineRule="auto"/>
        <w:jc w:val="both"/>
      </w:pPr>
      <w:r>
        <w:t xml:space="preserve">Invade </w:t>
      </w:r>
      <w:r w:rsidR="002A4311">
        <w:t xml:space="preserve">atribuciones </w:t>
      </w:r>
      <w:r>
        <w:t xml:space="preserve">de órganos autónomos, la Ley dice que los entes autónomos están obligados a dar información de las investigaciones </w:t>
      </w:r>
      <w:r w:rsidR="0002329E">
        <w:t xml:space="preserve">que llevan a cabo </w:t>
      </w:r>
      <w:r>
        <w:t xml:space="preserve">a las instituciones que participan en las </w:t>
      </w:r>
      <w:r w:rsidR="0002329E">
        <w:t>declaratorias de seguridad interior.</w:t>
      </w:r>
    </w:p>
    <w:p w14:paraId="4CC5035C" w14:textId="77777777" w:rsidR="005D73C8" w:rsidRDefault="005D73C8" w:rsidP="0002329E">
      <w:pPr>
        <w:pStyle w:val="Prrafodelista"/>
        <w:numPr>
          <w:ilvl w:val="0"/>
          <w:numId w:val="1"/>
        </w:numPr>
        <w:spacing w:line="276" w:lineRule="auto"/>
        <w:jc w:val="both"/>
      </w:pPr>
      <w:r>
        <w:t>Se viola el derecho a la información, porque la Ley clasifica toda la información relacionada con la Ley con los operativos y con los abusos que se cometan como información reservada por seguridad nacional.</w:t>
      </w:r>
    </w:p>
    <w:p w14:paraId="3D1EB47E" w14:textId="467903D0" w:rsidR="005D73C8" w:rsidRDefault="005D73C8" w:rsidP="0002329E">
      <w:pPr>
        <w:pStyle w:val="Prrafodelista"/>
        <w:numPr>
          <w:ilvl w:val="0"/>
          <w:numId w:val="1"/>
        </w:numPr>
        <w:spacing w:line="276" w:lineRule="auto"/>
        <w:jc w:val="both"/>
      </w:pPr>
      <w:r>
        <w:t>Niega el acceso a la justicia a las víctimas que quieran reclamar la responsabilidad patrimonial por hechos ilícitos del Ejército a</w:t>
      </w:r>
      <w:r w:rsidR="0002329E">
        <w:t>l</w:t>
      </w:r>
      <w:r w:rsidR="001A6C92">
        <w:t xml:space="preserve"> exclui</w:t>
      </w:r>
      <w:bookmarkStart w:id="0" w:name="_GoBack"/>
      <w:bookmarkEnd w:id="0"/>
      <w:r>
        <w:t xml:space="preserve">r </w:t>
      </w:r>
      <w:r w:rsidR="0002329E">
        <w:t xml:space="preserve">la posibilidad de </w:t>
      </w:r>
      <w:r>
        <w:t>que aplique el procedimiento</w:t>
      </w:r>
      <w:r w:rsidR="0002329E">
        <w:t xml:space="preserve"> administrativo</w:t>
      </w:r>
      <w:r>
        <w:t xml:space="preserve"> para actos derivad</w:t>
      </w:r>
      <w:r w:rsidR="0002329E">
        <w:t>os de Ley de Seguridad Interior.</w:t>
      </w:r>
    </w:p>
    <w:p w14:paraId="5DFF17F8" w14:textId="77777777" w:rsidR="005D73C8" w:rsidRDefault="005D73C8" w:rsidP="0002329E">
      <w:pPr>
        <w:pStyle w:val="Prrafodelista"/>
        <w:numPr>
          <w:ilvl w:val="0"/>
          <w:numId w:val="1"/>
        </w:numPr>
        <w:spacing w:line="276" w:lineRule="auto"/>
        <w:jc w:val="both"/>
      </w:pPr>
      <w:r>
        <w:t xml:space="preserve">Busca diluir la responsabilidad penal y política del Ejército, pero sobre todo del </w:t>
      </w:r>
      <w:proofErr w:type="gramStart"/>
      <w:r>
        <w:t>Presidente</w:t>
      </w:r>
      <w:proofErr w:type="gramEnd"/>
      <w:r>
        <w:t xml:space="preserve"> en su calidad de Comandante Supremo de las Fuerzas Armadas a meter en la decisión en las</w:t>
      </w:r>
      <w:r w:rsidR="0002329E">
        <w:t xml:space="preserve"> afectaciones</w:t>
      </w:r>
      <w:r>
        <w:t xml:space="preserve"> de seguridad interior a gobernadores, congr</w:t>
      </w:r>
      <w:r w:rsidR="0002329E">
        <w:t>e</w:t>
      </w:r>
      <w:r>
        <w:t>so</w:t>
      </w:r>
      <w:r w:rsidR="0002329E">
        <w:t>s</w:t>
      </w:r>
      <w:r>
        <w:t xml:space="preserve"> locales y autoridades del Ejecutivo Federal</w:t>
      </w:r>
      <w:r w:rsidR="00DF258D">
        <w:t xml:space="preserve">. </w:t>
      </w:r>
      <w:r>
        <w:t>Todos los excesos que se cometan en este contexto son responsabilidad del Ejecutivo porque de él depende, operativa y directamente, él es el comandante en jefe de las Fuerzas Armadas</w:t>
      </w:r>
      <w:r w:rsidR="0002329E">
        <w:t>,</w:t>
      </w:r>
      <w:r>
        <w:t xml:space="preserve"> </w:t>
      </w:r>
      <w:r w:rsidR="0002329E">
        <w:t>todos los casos</w:t>
      </w:r>
      <w:r>
        <w:t xml:space="preserve"> de tortura que se vayan a cometer, </w:t>
      </w:r>
      <w:r w:rsidR="0002329E">
        <w:t>desapariciones,</w:t>
      </w:r>
      <w:r>
        <w:t xml:space="preserve"> ejecuciones </w:t>
      </w:r>
      <w:r w:rsidR="0002329E">
        <w:t>y</w:t>
      </w:r>
      <w:r>
        <w:t xml:space="preserve"> detenciones arbitrarias serán responsabilidad política del Ejército</w:t>
      </w:r>
      <w:r w:rsidR="0002329E">
        <w:t>,</w:t>
      </w:r>
      <w:r>
        <w:t xml:space="preserve"> a pesar </w:t>
      </w:r>
      <w:r w:rsidR="00DF258D">
        <w:t>de que</w:t>
      </w:r>
      <w:r w:rsidR="0002329E">
        <w:t xml:space="preserve"> con</w:t>
      </w:r>
      <w:r w:rsidR="00DF258D">
        <w:t xml:space="preserve"> esta Ley se busca diluir</w:t>
      </w:r>
      <w:r w:rsidR="0002329E">
        <w:t>lo</w:t>
      </w:r>
      <w:r w:rsidR="00DF258D">
        <w:t>.</w:t>
      </w:r>
    </w:p>
    <w:p w14:paraId="1E4768E7" w14:textId="77777777" w:rsidR="00DF258D" w:rsidRDefault="00DF258D" w:rsidP="0002329E">
      <w:pPr>
        <w:pStyle w:val="Prrafodelista"/>
        <w:numPr>
          <w:ilvl w:val="0"/>
          <w:numId w:val="1"/>
        </w:numPr>
        <w:spacing w:line="276" w:lineRule="auto"/>
        <w:jc w:val="both"/>
      </w:pPr>
      <w:r>
        <w:lastRenderedPageBreak/>
        <w:t>Viola el pacto federal, someten a la autoridad municipal sin que parti</w:t>
      </w:r>
      <w:r w:rsidR="0002329E">
        <w:t xml:space="preserve">cipe en ninguna decisión de las afectaciones de </w:t>
      </w:r>
      <w:r>
        <w:t xml:space="preserve">seguridad interior a que </w:t>
      </w:r>
      <w:r w:rsidR="0002329E">
        <w:t xml:space="preserve">puedan remover una </w:t>
      </w:r>
      <w:r>
        <w:t xml:space="preserve">policía y le puedan </w:t>
      </w:r>
      <w:r w:rsidR="0002329E">
        <w:t>imponer</w:t>
      </w:r>
      <w:r>
        <w:t xml:space="preserve"> a otra en el ámbito </w:t>
      </w:r>
      <w:r w:rsidR="0002329E">
        <w:t>local.</w:t>
      </w:r>
    </w:p>
    <w:p w14:paraId="3490174C" w14:textId="77777777" w:rsidR="00DF258D" w:rsidRDefault="00DF258D" w:rsidP="0002329E">
      <w:pPr>
        <w:pStyle w:val="Prrafodelista"/>
        <w:numPr>
          <w:ilvl w:val="0"/>
          <w:numId w:val="1"/>
        </w:numPr>
        <w:spacing w:line="276" w:lineRule="auto"/>
        <w:jc w:val="both"/>
      </w:pPr>
      <w:r>
        <w:t xml:space="preserve">Se legaliza la violación a derechos humanos, de acuerdo a la Ley los militares pueden </w:t>
      </w:r>
      <w:r w:rsidR="00254EBD">
        <w:t xml:space="preserve">detener y poner a disposición de la autoridad </w:t>
      </w:r>
      <w:r w:rsidR="0002329E">
        <w:t>competente las</w:t>
      </w:r>
      <w:r w:rsidR="00254EBD">
        <w:t xml:space="preserve"> personas con las que se encuentren que está</w:t>
      </w:r>
      <w:r w:rsidR="0002329E">
        <w:t xml:space="preserve">n cometiendo un delito. Pueden </w:t>
      </w:r>
      <w:r w:rsidR="00254EBD">
        <w:t>disparar, hacer uso de la fuerza letal, con reglas que no se ajustan ni a las aplicables en conflictos armados, ni a las de respetar el principio de distinción entre el objetivo militar</w:t>
      </w:r>
      <w:r w:rsidR="0002329E">
        <w:t xml:space="preserve"> </w:t>
      </w:r>
      <w:r w:rsidR="00254EBD">
        <w:t xml:space="preserve">o el enemigo a combatir y la población </w:t>
      </w:r>
      <w:r w:rsidR="0002329E">
        <w:t xml:space="preserve">civil, </w:t>
      </w:r>
      <w:r w:rsidR="00254EBD">
        <w:t xml:space="preserve">y tampoco se aplica </w:t>
      </w:r>
      <w:r w:rsidR="0002329E">
        <w:t>se la</w:t>
      </w:r>
      <w:r w:rsidR="00254EBD">
        <w:t xml:space="preserve"> regla del uso de la fuerza en tiempos de paz </w:t>
      </w:r>
      <w:r w:rsidR="0002329E">
        <w:t xml:space="preserve">aplicada a </w:t>
      </w:r>
      <w:r w:rsidR="00254EBD">
        <w:t>funcionarios de hacer cumplir la Ley</w:t>
      </w:r>
      <w:r w:rsidR="0002329E">
        <w:t>.</w:t>
      </w:r>
    </w:p>
    <w:p w14:paraId="16DA8CFD" w14:textId="77777777" w:rsidR="00254EBD" w:rsidRDefault="00254EBD" w:rsidP="0002329E">
      <w:pPr>
        <w:pStyle w:val="Prrafodelista"/>
        <w:numPr>
          <w:ilvl w:val="0"/>
          <w:numId w:val="1"/>
        </w:numPr>
        <w:spacing w:line="276" w:lineRule="auto"/>
        <w:jc w:val="both"/>
      </w:pPr>
      <w:r>
        <w:t xml:space="preserve">La </w:t>
      </w:r>
      <w:r w:rsidR="0002329E">
        <w:t>Ley</w:t>
      </w:r>
      <w:r>
        <w:t xml:space="preserve"> es clara al establecer que las acciones de seguridad inte</w:t>
      </w:r>
      <w:r w:rsidR="0002329E">
        <w:t>rior se llevarán a cabo por el E</w:t>
      </w:r>
      <w:r>
        <w:t xml:space="preserve">jército de acuerdo a sus formas de organización, sus medios y a su </w:t>
      </w:r>
      <w:r w:rsidR="0002329E">
        <w:t>adiestramiento</w:t>
      </w:r>
      <w:r>
        <w:t xml:space="preserve">, </w:t>
      </w:r>
      <w:r w:rsidR="0002329E">
        <w:t xml:space="preserve">es decir, </w:t>
      </w:r>
      <w:r>
        <w:t xml:space="preserve">están ahí para matar </w:t>
      </w:r>
      <w:r w:rsidR="0002329E">
        <w:t>y</w:t>
      </w:r>
      <w:r>
        <w:t xml:space="preserve"> exterminar</w:t>
      </w:r>
      <w:r w:rsidR="0002329E">
        <w:t xml:space="preserve"> al enemigo</w:t>
      </w:r>
      <w:r>
        <w:t>. No están ahí para detener ciudadan</w:t>
      </w:r>
      <w:r w:rsidR="0002329E">
        <w:t>os y ponerlos a disposición de la autoridad judicial.</w:t>
      </w:r>
      <w:r>
        <w:t xml:space="preserve"> </w:t>
      </w:r>
    </w:p>
    <w:p w14:paraId="595F793C" w14:textId="77777777" w:rsidR="00254EBD" w:rsidRDefault="00254EBD" w:rsidP="0002329E">
      <w:pPr>
        <w:pStyle w:val="Prrafodelista"/>
        <w:numPr>
          <w:ilvl w:val="0"/>
          <w:numId w:val="1"/>
        </w:numPr>
        <w:spacing w:line="276" w:lineRule="auto"/>
        <w:jc w:val="both"/>
      </w:pPr>
      <w:r>
        <w:t xml:space="preserve">Les permiten </w:t>
      </w:r>
      <w:r w:rsidR="0002329E">
        <w:t xml:space="preserve">la participación para </w:t>
      </w:r>
      <w:r>
        <w:t xml:space="preserve">reprimir manifestaciones, parece que el 2 de octubre ya se nos olvidó, era una manifestación pacífica y la fabricaron como si </w:t>
      </w:r>
      <w:r w:rsidR="0002329E">
        <w:t xml:space="preserve">quisieran parecer </w:t>
      </w:r>
      <w:r>
        <w:t>una manifestación como si fuera armas de fuego y la cons</w:t>
      </w:r>
      <w:r w:rsidR="0002329E">
        <w:t>ecuencia fue una masacre y un nú</w:t>
      </w:r>
      <w:r>
        <w:t xml:space="preserve">mero </w:t>
      </w:r>
      <w:r w:rsidR="0002329E">
        <w:t>indefinido de personas</w:t>
      </w:r>
      <w:r>
        <w:t xml:space="preserve"> porque hasta la fecha no hemos podido conocer porque la información está reservada</w:t>
      </w:r>
      <w:r w:rsidR="0002329E">
        <w:t>.</w:t>
      </w:r>
    </w:p>
    <w:p w14:paraId="3EBADCE5" w14:textId="77777777" w:rsidR="0002329E" w:rsidRDefault="0002329E" w:rsidP="0002329E">
      <w:pPr>
        <w:spacing w:line="276" w:lineRule="auto"/>
        <w:jc w:val="both"/>
      </w:pPr>
    </w:p>
    <w:p w14:paraId="21B91ED3" w14:textId="77777777" w:rsidR="00254EBD" w:rsidRDefault="00254EBD" w:rsidP="0002329E">
      <w:pPr>
        <w:spacing w:line="276" w:lineRule="auto"/>
        <w:jc w:val="both"/>
      </w:pPr>
      <w:r>
        <w:t>Estas son al menos las 12 violaciones de una</w:t>
      </w:r>
      <w:r w:rsidR="0002329E">
        <w:t xml:space="preserve"> </w:t>
      </w:r>
      <w:r>
        <w:t>lectura preliminar de la legislación de seguridad interior que se puedan plantear todas las cuestiones son de inconstitucionalidad.</w:t>
      </w:r>
    </w:p>
    <w:p w14:paraId="55E05221" w14:textId="77777777" w:rsidR="0002329E" w:rsidRDefault="00973737" w:rsidP="00973737">
      <w:pPr>
        <w:spacing w:line="276" w:lineRule="auto"/>
        <w:jc w:val="center"/>
      </w:pPr>
      <w:r>
        <w:t>***</w:t>
      </w:r>
    </w:p>
    <w:p w14:paraId="19BB8EC9" w14:textId="77777777" w:rsidR="0002329E" w:rsidRDefault="00973737" w:rsidP="0002329E">
      <w:pPr>
        <w:spacing w:line="276" w:lineRule="auto"/>
        <w:jc w:val="both"/>
      </w:pPr>
      <w:r>
        <w:t xml:space="preserve">Si toda la información derivada de la Ley de Seguridad Interior, los operativos por afectaciones a la Ley de Seguridad Interior se reservan va a ser prácticamente imposible que una víctima pueda obtener la información que necesita para la búsqueda e información de su ser querido y para la que se hagan investigaciones adecuadas en caso de que hayan estado involucrados militares o personas que trabajen en el contexto de estos operativos de seguridad interior. Entonces, como está declarado el proyecto, se trata de una Ley que busca restringir el acceso a la justicia de las víctimas y en particular a víctimas de desaparición, además genera un efecto disuasivo a la presencia militar en donde están desapareciendo personas, ejemplo claro Tamaulipas, es uno de los estados con más desapariciones en el país y en donde se cuenta con una presencia militar desde hace 10 años por lo menos. </w:t>
      </w:r>
    </w:p>
    <w:p w14:paraId="4B6183D8" w14:textId="77777777" w:rsidR="00973737" w:rsidRDefault="00973737" w:rsidP="00973737">
      <w:pPr>
        <w:spacing w:line="276" w:lineRule="auto"/>
        <w:jc w:val="center"/>
      </w:pPr>
      <w:r>
        <w:t>***</w:t>
      </w:r>
    </w:p>
    <w:p w14:paraId="770BD29A" w14:textId="77777777" w:rsidR="001A68AF" w:rsidRDefault="001A68AF">
      <w:r>
        <w:br w:type="page"/>
      </w:r>
    </w:p>
    <w:p w14:paraId="1B9B55AF" w14:textId="77777777" w:rsidR="001A68AF" w:rsidRPr="003B0B65" w:rsidRDefault="001A68AF" w:rsidP="001A68AF">
      <w:pPr>
        <w:pStyle w:val="Ttulo1"/>
        <w:jc w:val="center"/>
        <w:rPr>
          <w:rFonts w:ascii="Times New Roman" w:hAnsi="Times New Roman" w:cs="Times New Roman"/>
        </w:rPr>
      </w:pPr>
      <w:r>
        <w:rPr>
          <w:rFonts w:ascii="Times New Roman" w:hAnsi="Times New Roman" w:cs="Times New Roman"/>
        </w:rPr>
        <w:t xml:space="preserve">Violaciones graves a derechos humanos cometidas por </w:t>
      </w:r>
      <w:r w:rsidRPr="003B0B65">
        <w:rPr>
          <w:rFonts w:ascii="Times New Roman" w:hAnsi="Times New Roman" w:cs="Times New Roman"/>
        </w:rPr>
        <w:t>militares</w:t>
      </w:r>
    </w:p>
    <w:p w14:paraId="3132D83E" w14:textId="77777777" w:rsidR="001A68AF" w:rsidRDefault="001A68AF" w:rsidP="001A68AF">
      <w:pPr>
        <w:jc w:val="both"/>
        <w:rPr>
          <w:rFonts w:cs="Times New Roman"/>
        </w:rPr>
      </w:pPr>
    </w:p>
    <w:p w14:paraId="069E88CF" w14:textId="77777777" w:rsidR="001A68AF" w:rsidRDefault="001A68AF" w:rsidP="001A68AF">
      <w:pPr>
        <w:jc w:val="both"/>
        <w:rPr>
          <w:rFonts w:cs="Times New Roman"/>
        </w:rPr>
      </w:pPr>
      <w:r w:rsidRPr="003B0B65">
        <w:rPr>
          <w:rFonts w:cs="Times New Roman"/>
        </w:rPr>
        <w:t>Quejas</w:t>
      </w:r>
      <w:r>
        <w:rPr>
          <w:rFonts w:cs="Times New Roman"/>
        </w:rPr>
        <w:t xml:space="preserve"> en CNDH</w:t>
      </w:r>
      <w:r w:rsidRPr="003B0B65">
        <w:rPr>
          <w:rFonts w:cs="Times New Roman"/>
        </w:rPr>
        <w:t xml:space="preserve"> del 1º de diciembre de 2006 al 31 de diciembre de 2016</w:t>
      </w:r>
      <w:r>
        <w:rPr>
          <w:rFonts w:cs="Times New Roman"/>
        </w:rPr>
        <w:t>:</w:t>
      </w:r>
      <w:r w:rsidRPr="003B0B65">
        <w:rPr>
          <w:rFonts w:cs="Times New Roman"/>
        </w:rPr>
        <w:t xml:space="preserve"> 82,745 quejas</w:t>
      </w:r>
      <w:r w:rsidRPr="003B0B65">
        <w:rPr>
          <w:rStyle w:val="Refdenotaalpie"/>
          <w:rFonts w:cs="Times New Roman"/>
        </w:rPr>
        <w:footnoteReference w:id="1"/>
      </w:r>
      <w:r w:rsidRPr="003B0B65">
        <w:rPr>
          <w:rFonts w:cs="Times New Roman"/>
        </w:rPr>
        <w:t>. De este universo, el 28.2% estuvieron dirigidas a autoridades encargadas de la seguridad pública (SEDENA, SEMAR, Policía Federal y PGR). Es decir, 23,347 quejas, de las cuales el 44.6% (10,404) marca a la Secretaría de Defensa Nacional como autoridad responsable</w:t>
      </w:r>
      <w:r w:rsidRPr="003B0B65">
        <w:rPr>
          <w:rStyle w:val="Refdenotaalpie"/>
          <w:rFonts w:cs="Times New Roman"/>
        </w:rPr>
        <w:footnoteReference w:id="2"/>
      </w:r>
      <w:r w:rsidRPr="003B0B65">
        <w:rPr>
          <w:rFonts w:cs="Times New Roman"/>
        </w:rPr>
        <w:t xml:space="preserve">. </w:t>
      </w:r>
    </w:p>
    <w:p w14:paraId="0AF32F37" w14:textId="77777777" w:rsidR="001A68AF" w:rsidRPr="003B0B65" w:rsidRDefault="001A68AF" w:rsidP="001A68AF">
      <w:pPr>
        <w:jc w:val="both"/>
        <w:rPr>
          <w:rFonts w:cs="Times New Roman"/>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6"/>
        <w:gridCol w:w="1190"/>
        <w:gridCol w:w="1083"/>
        <w:gridCol w:w="1003"/>
        <w:gridCol w:w="756"/>
        <w:gridCol w:w="876"/>
      </w:tblGrid>
      <w:tr w:rsidR="001A68AF" w:rsidRPr="003B0B65" w14:paraId="41482C7F" w14:textId="77777777" w:rsidTr="00617C73">
        <w:trPr>
          <w:trHeight w:val="310"/>
          <w:jc w:val="center"/>
        </w:trPr>
        <w:tc>
          <w:tcPr>
            <w:tcW w:w="4420" w:type="dxa"/>
            <w:gridSpan w:val="6"/>
            <w:shd w:val="clear" w:color="auto" w:fill="auto"/>
            <w:hideMark/>
          </w:tcPr>
          <w:p w14:paraId="2E67056F" w14:textId="77777777" w:rsidR="001A68AF" w:rsidRPr="003B0B65" w:rsidRDefault="001A68AF" w:rsidP="00617C73">
            <w:pPr>
              <w:jc w:val="both"/>
              <w:rPr>
                <w:rFonts w:cs="Times New Roman"/>
                <w:b/>
                <w:bCs/>
              </w:rPr>
            </w:pPr>
            <w:r w:rsidRPr="003B0B65">
              <w:rPr>
                <w:rFonts w:cs="Times New Roman"/>
                <w:b/>
                <w:bCs/>
              </w:rPr>
              <w:t>Quejas CNDH por autoridad responsable</w:t>
            </w:r>
          </w:p>
        </w:tc>
      </w:tr>
      <w:tr w:rsidR="001A68AF" w:rsidRPr="003B0B65" w14:paraId="7CFBF560" w14:textId="77777777" w:rsidTr="00617C73">
        <w:trPr>
          <w:trHeight w:val="600"/>
          <w:jc w:val="center"/>
        </w:trPr>
        <w:tc>
          <w:tcPr>
            <w:tcW w:w="895" w:type="dxa"/>
            <w:shd w:val="clear" w:color="auto" w:fill="F2F2F2"/>
            <w:noWrap/>
            <w:hideMark/>
          </w:tcPr>
          <w:p w14:paraId="08DFCE52" w14:textId="77777777" w:rsidR="001A68AF" w:rsidRPr="003B0B65" w:rsidRDefault="001A68AF" w:rsidP="00617C73">
            <w:pPr>
              <w:jc w:val="both"/>
              <w:rPr>
                <w:rFonts w:cs="Times New Roman"/>
                <w:b/>
                <w:bCs/>
              </w:rPr>
            </w:pPr>
            <w:r w:rsidRPr="003B0B65">
              <w:rPr>
                <w:rFonts w:cs="Times New Roman"/>
                <w:b/>
                <w:bCs/>
              </w:rPr>
              <w:t>Periodo</w:t>
            </w:r>
          </w:p>
        </w:tc>
        <w:tc>
          <w:tcPr>
            <w:tcW w:w="800" w:type="dxa"/>
            <w:shd w:val="clear" w:color="auto" w:fill="F2F2F2"/>
            <w:noWrap/>
            <w:hideMark/>
          </w:tcPr>
          <w:p w14:paraId="0CFACC86" w14:textId="77777777" w:rsidR="001A68AF" w:rsidRPr="003B0B65" w:rsidRDefault="001A68AF" w:rsidP="00617C73">
            <w:pPr>
              <w:jc w:val="both"/>
              <w:rPr>
                <w:rFonts w:cs="Times New Roman"/>
                <w:b/>
              </w:rPr>
            </w:pPr>
            <w:r w:rsidRPr="003B0B65">
              <w:rPr>
                <w:rFonts w:cs="Times New Roman"/>
                <w:b/>
              </w:rPr>
              <w:t>SEDENA</w:t>
            </w:r>
          </w:p>
        </w:tc>
        <w:tc>
          <w:tcPr>
            <w:tcW w:w="718" w:type="dxa"/>
            <w:shd w:val="clear" w:color="auto" w:fill="F2F2F2"/>
            <w:noWrap/>
            <w:hideMark/>
          </w:tcPr>
          <w:p w14:paraId="0C84F505" w14:textId="77777777" w:rsidR="001A68AF" w:rsidRPr="003B0B65" w:rsidRDefault="001A68AF" w:rsidP="00617C73">
            <w:pPr>
              <w:jc w:val="both"/>
              <w:rPr>
                <w:rFonts w:cs="Times New Roman"/>
                <w:b/>
              </w:rPr>
            </w:pPr>
            <w:r w:rsidRPr="003B0B65">
              <w:rPr>
                <w:rFonts w:cs="Times New Roman"/>
                <w:b/>
              </w:rPr>
              <w:t>SEMAR</w:t>
            </w:r>
          </w:p>
        </w:tc>
        <w:tc>
          <w:tcPr>
            <w:tcW w:w="873" w:type="dxa"/>
            <w:shd w:val="clear" w:color="auto" w:fill="F2F2F2"/>
            <w:hideMark/>
          </w:tcPr>
          <w:p w14:paraId="63B8671A" w14:textId="77777777" w:rsidR="001A68AF" w:rsidRPr="003B0B65" w:rsidRDefault="001A68AF" w:rsidP="00617C73">
            <w:pPr>
              <w:jc w:val="both"/>
              <w:rPr>
                <w:rFonts w:cs="Times New Roman"/>
                <w:b/>
              </w:rPr>
            </w:pPr>
            <w:r w:rsidRPr="003B0B65">
              <w:rPr>
                <w:rFonts w:cs="Times New Roman"/>
                <w:b/>
              </w:rPr>
              <w:t>Policía Federal</w:t>
            </w:r>
          </w:p>
        </w:tc>
        <w:tc>
          <w:tcPr>
            <w:tcW w:w="508" w:type="dxa"/>
            <w:shd w:val="clear" w:color="auto" w:fill="F2F2F2"/>
            <w:noWrap/>
            <w:hideMark/>
          </w:tcPr>
          <w:p w14:paraId="345849AE" w14:textId="77777777" w:rsidR="001A68AF" w:rsidRPr="003B0B65" w:rsidRDefault="001A68AF" w:rsidP="00617C73">
            <w:pPr>
              <w:jc w:val="both"/>
              <w:rPr>
                <w:rFonts w:cs="Times New Roman"/>
                <w:b/>
              </w:rPr>
            </w:pPr>
            <w:r w:rsidRPr="003B0B65">
              <w:rPr>
                <w:rFonts w:cs="Times New Roman"/>
                <w:b/>
              </w:rPr>
              <w:t>PGR</w:t>
            </w:r>
          </w:p>
        </w:tc>
        <w:tc>
          <w:tcPr>
            <w:tcW w:w="626" w:type="dxa"/>
            <w:shd w:val="clear" w:color="auto" w:fill="F2F2F2"/>
            <w:noWrap/>
            <w:hideMark/>
          </w:tcPr>
          <w:p w14:paraId="3A0F6E01" w14:textId="77777777" w:rsidR="001A68AF" w:rsidRPr="003B0B65" w:rsidRDefault="001A68AF" w:rsidP="00617C73">
            <w:pPr>
              <w:jc w:val="both"/>
              <w:rPr>
                <w:rFonts w:cs="Times New Roman"/>
                <w:b/>
              </w:rPr>
            </w:pPr>
            <w:r w:rsidRPr="003B0B65">
              <w:rPr>
                <w:rFonts w:cs="Times New Roman"/>
                <w:b/>
              </w:rPr>
              <w:t>Total</w:t>
            </w:r>
          </w:p>
        </w:tc>
      </w:tr>
      <w:tr w:rsidR="001A68AF" w:rsidRPr="003B0B65" w14:paraId="5EEDA092" w14:textId="77777777" w:rsidTr="00617C73">
        <w:trPr>
          <w:trHeight w:val="300"/>
          <w:jc w:val="center"/>
        </w:trPr>
        <w:tc>
          <w:tcPr>
            <w:tcW w:w="895" w:type="dxa"/>
            <w:shd w:val="clear" w:color="auto" w:fill="auto"/>
            <w:hideMark/>
          </w:tcPr>
          <w:p w14:paraId="69015BFC" w14:textId="77777777" w:rsidR="001A68AF" w:rsidRPr="003B0B65" w:rsidRDefault="001A68AF" w:rsidP="00617C73">
            <w:pPr>
              <w:jc w:val="both"/>
              <w:rPr>
                <w:rFonts w:cs="Times New Roman"/>
                <w:bCs/>
              </w:rPr>
            </w:pPr>
            <w:r w:rsidRPr="003B0B65">
              <w:rPr>
                <w:rFonts w:cs="Times New Roman"/>
                <w:bCs/>
              </w:rPr>
              <w:t>dic-06</w:t>
            </w:r>
          </w:p>
        </w:tc>
        <w:tc>
          <w:tcPr>
            <w:tcW w:w="800" w:type="dxa"/>
            <w:shd w:val="clear" w:color="auto" w:fill="auto"/>
            <w:noWrap/>
            <w:hideMark/>
          </w:tcPr>
          <w:p w14:paraId="7432B2FA" w14:textId="77777777" w:rsidR="001A68AF" w:rsidRPr="003B0B65" w:rsidRDefault="001A68AF" w:rsidP="00617C73">
            <w:pPr>
              <w:jc w:val="both"/>
              <w:rPr>
                <w:rFonts w:cs="Times New Roman"/>
              </w:rPr>
            </w:pPr>
            <w:r w:rsidRPr="003B0B65">
              <w:rPr>
                <w:rFonts w:cs="Times New Roman"/>
              </w:rPr>
              <w:t>8</w:t>
            </w:r>
          </w:p>
        </w:tc>
        <w:tc>
          <w:tcPr>
            <w:tcW w:w="718" w:type="dxa"/>
            <w:shd w:val="clear" w:color="auto" w:fill="auto"/>
            <w:noWrap/>
            <w:hideMark/>
          </w:tcPr>
          <w:p w14:paraId="58091841" w14:textId="77777777" w:rsidR="001A68AF" w:rsidRPr="003B0B65" w:rsidRDefault="001A68AF" w:rsidP="00617C73">
            <w:pPr>
              <w:jc w:val="both"/>
              <w:rPr>
                <w:rFonts w:cs="Times New Roman"/>
              </w:rPr>
            </w:pPr>
            <w:r w:rsidRPr="003B0B65">
              <w:rPr>
                <w:rFonts w:cs="Times New Roman"/>
              </w:rPr>
              <w:t>1</w:t>
            </w:r>
          </w:p>
        </w:tc>
        <w:tc>
          <w:tcPr>
            <w:tcW w:w="873" w:type="dxa"/>
            <w:shd w:val="clear" w:color="auto" w:fill="auto"/>
            <w:noWrap/>
            <w:hideMark/>
          </w:tcPr>
          <w:p w14:paraId="6FF46421" w14:textId="77777777" w:rsidR="001A68AF" w:rsidRPr="003B0B65" w:rsidRDefault="001A68AF" w:rsidP="00617C73">
            <w:pPr>
              <w:jc w:val="both"/>
              <w:rPr>
                <w:rFonts w:cs="Times New Roman"/>
              </w:rPr>
            </w:pPr>
            <w:r w:rsidRPr="003B0B65">
              <w:rPr>
                <w:rFonts w:cs="Times New Roman"/>
              </w:rPr>
              <w:t>7</w:t>
            </w:r>
          </w:p>
        </w:tc>
        <w:tc>
          <w:tcPr>
            <w:tcW w:w="508" w:type="dxa"/>
            <w:shd w:val="clear" w:color="auto" w:fill="auto"/>
            <w:noWrap/>
            <w:hideMark/>
          </w:tcPr>
          <w:p w14:paraId="0DB2431F" w14:textId="77777777" w:rsidR="001A68AF" w:rsidRPr="003B0B65" w:rsidRDefault="001A68AF" w:rsidP="00617C73">
            <w:pPr>
              <w:jc w:val="both"/>
              <w:rPr>
                <w:rFonts w:cs="Times New Roman"/>
              </w:rPr>
            </w:pPr>
            <w:r w:rsidRPr="003B0B65">
              <w:rPr>
                <w:rFonts w:cs="Times New Roman"/>
              </w:rPr>
              <w:t>25</w:t>
            </w:r>
          </w:p>
        </w:tc>
        <w:tc>
          <w:tcPr>
            <w:tcW w:w="626" w:type="dxa"/>
            <w:shd w:val="clear" w:color="auto" w:fill="auto"/>
            <w:noWrap/>
            <w:hideMark/>
          </w:tcPr>
          <w:p w14:paraId="0AC5BCEE" w14:textId="77777777" w:rsidR="001A68AF" w:rsidRPr="003B0B65" w:rsidRDefault="001A68AF" w:rsidP="00617C73">
            <w:pPr>
              <w:jc w:val="both"/>
              <w:rPr>
                <w:rFonts w:cs="Times New Roman"/>
              </w:rPr>
            </w:pPr>
            <w:r w:rsidRPr="003B0B65">
              <w:rPr>
                <w:rFonts w:cs="Times New Roman"/>
              </w:rPr>
              <w:t>41</w:t>
            </w:r>
          </w:p>
        </w:tc>
      </w:tr>
      <w:tr w:rsidR="001A68AF" w:rsidRPr="003B0B65" w14:paraId="3F850EE9" w14:textId="77777777" w:rsidTr="00617C73">
        <w:trPr>
          <w:trHeight w:val="300"/>
          <w:jc w:val="center"/>
        </w:trPr>
        <w:tc>
          <w:tcPr>
            <w:tcW w:w="895" w:type="dxa"/>
            <w:shd w:val="clear" w:color="auto" w:fill="F2F2F2"/>
            <w:noWrap/>
            <w:hideMark/>
          </w:tcPr>
          <w:p w14:paraId="5D35DE06" w14:textId="77777777" w:rsidR="001A68AF" w:rsidRPr="003B0B65" w:rsidRDefault="001A68AF" w:rsidP="00617C73">
            <w:pPr>
              <w:jc w:val="both"/>
              <w:rPr>
                <w:rFonts w:cs="Times New Roman"/>
                <w:bCs/>
              </w:rPr>
            </w:pPr>
            <w:r w:rsidRPr="003B0B65">
              <w:rPr>
                <w:rFonts w:cs="Times New Roman"/>
                <w:bCs/>
              </w:rPr>
              <w:t>2007</w:t>
            </w:r>
          </w:p>
        </w:tc>
        <w:tc>
          <w:tcPr>
            <w:tcW w:w="800" w:type="dxa"/>
            <w:shd w:val="clear" w:color="auto" w:fill="F2F2F2"/>
            <w:noWrap/>
            <w:hideMark/>
          </w:tcPr>
          <w:p w14:paraId="769375FA" w14:textId="77777777" w:rsidR="001A68AF" w:rsidRPr="003B0B65" w:rsidRDefault="001A68AF" w:rsidP="00617C73">
            <w:pPr>
              <w:jc w:val="both"/>
              <w:rPr>
                <w:rFonts w:cs="Times New Roman"/>
              </w:rPr>
            </w:pPr>
            <w:r w:rsidRPr="003B0B65">
              <w:rPr>
                <w:rFonts w:cs="Times New Roman"/>
              </w:rPr>
              <w:t>364</w:t>
            </w:r>
          </w:p>
        </w:tc>
        <w:tc>
          <w:tcPr>
            <w:tcW w:w="718" w:type="dxa"/>
            <w:shd w:val="clear" w:color="auto" w:fill="F2F2F2"/>
            <w:noWrap/>
            <w:hideMark/>
          </w:tcPr>
          <w:p w14:paraId="1221E3F2" w14:textId="77777777" w:rsidR="001A68AF" w:rsidRPr="003B0B65" w:rsidRDefault="001A68AF" w:rsidP="00617C73">
            <w:pPr>
              <w:jc w:val="both"/>
              <w:rPr>
                <w:rFonts w:cs="Times New Roman"/>
              </w:rPr>
            </w:pPr>
            <w:r w:rsidRPr="003B0B65">
              <w:rPr>
                <w:rFonts w:cs="Times New Roman"/>
              </w:rPr>
              <w:t>31</w:t>
            </w:r>
          </w:p>
        </w:tc>
        <w:tc>
          <w:tcPr>
            <w:tcW w:w="873" w:type="dxa"/>
            <w:shd w:val="clear" w:color="auto" w:fill="F2F2F2"/>
            <w:noWrap/>
            <w:hideMark/>
          </w:tcPr>
          <w:p w14:paraId="39327296" w14:textId="77777777" w:rsidR="001A68AF" w:rsidRPr="003B0B65" w:rsidRDefault="001A68AF" w:rsidP="00617C73">
            <w:pPr>
              <w:jc w:val="both"/>
              <w:rPr>
                <w:rFonts w:cs="Times New Roman"/>
              </w:rPr>
            </w:pPr>
            <w:r w:rsidRPr="003B0B65">
              <w:rPr>
                <w:rFonts w:cs="Times New Roman"/>
              </w:rPr>
              <w:t>132</w:t>
            </w:r>
          </w:p>
        </w:tc>
        <w:tc>
          <w:tcPr>
            <w:tcW w:w="508" w:type="dxa"/>
            <w:shd w:val="clear" w:color="auto" w:fill="F2F2F2"/>
            <w:noWrap/>
            <w:hideMark/>
          </w:tcPr>
          <w:p w14:paraId="5F62BCC2" w14:textId="77777777" w:rsidR="001A68AF" w:rsidRPr="003B0B65" w:rsidRDefault="001A68AF" w:rsidP="00617C73">
            <w:pPr>
              <w:jc w:val="both"/>
              <w:rPr>
                <w:rFonts w:cs="Times New Roman"/>
              </w:rPr>
            </w:pPr>
            <w:r w:rsidRPr="003B0B65">
              <w:rPr>
                <w:rFonts w:cs="Times New Roman"/>
              </w:rPr>
              <w:t>671</w:t>
            </w:r>
          </w:p>
        </w:tc>
        <w:tc>
          <w:tcPr>
            <w:tcW w:w="626" w:type="dxa"/>
            <w:shd w:val="clear" w:color="auto" w:fill="F2F2F2"/>
            <w:noWrap/>
            <w:hideMark/>
          </w:tcPr>
          <w:p w14:paraId="69F03744" w14:textId="77777777" w:rsidR="001A68AF" w:rsidRPr="003B0B65" w:rsidRDefault="001A68AF" w:rsidP="00617C73">
            <w:pPr>
              <w:jc w:val="both"/>
              <w:rPr>
                <w:rFonts w:cs="Times New Roman"/>
              </w:rPr>
            </w:pPr>
            <w:r w:rsidRPr="003B0B65">
              <w:rPr>
                <w:rFonts w:cs="Times New Roman"/>
              </w:rPr>
              <w:t>1,198</w:t>
            </w:r>
          </w:p>
        </w:tc>
      </w:tr>
      <w:tr w:rsidR="001A68AF" w:rsidRPr="003B0B65" w14:paraId="58F8A4EF" w14:textId="77777777" w:rsidTr="00617C73">
        <w:trPr>
          <w:trHeight w:val="300"/>
          <w:jc w:val="center"/>
        </w:trPr>
        <w:tc>
          <w:tcPr>
            <w:tcW w:w="895" w:type="dxa"/>
            <w:shd w:val="clear" w:color="auto" w:fill="auto"/>
            <w:noWrap/>
            <w:hideMark/>
          </w:tcPr>
          <w:p w14:paraId="6E99C700" w14:textId="77777777" w:rsidR="001A68AF" w:rsidRPr="003B0B65" w:rsidRDefault="001A68AF" w:rsidP="00617C73">
            <w:pPr>
              <w:jc w:val="both"/>
              <w:rPr>
                <w:rFonts w:cs="Times New Roman"/>
                <w:bCs/>
              </w:rPr>
            </w:pPr>
            <w:r w:rsidRPr="003B0B65">
              <w:rPr>
                <w:rFonts w:cs="Times New Roman"/>
                <w:bCs/>
              </w:rPr>
              <w:t>2008</w:t>
            </w:r>
          </w:p>
        </w:tc>
        <w:tc>
          <w:tcPr>
            <w:tcW w:w="800" w:type="dxa"/>
            <w:shd w:val="clear" w:color="auto" w:fill="auto"/>
            <w:noWrap/>
            <w:hideMark/>
          </w:tcPr>
          <w:p w14:paraId="1C743A59" w14:textId="77777777" w:rsidR="001A68AF" w:rsidRPr="003B0B65" w:rsidRDefault="001A68AF" w:rsidP="00617C73">
            <w:pPr>
              <w:jc w:val="both"/>
              <w:rPr>
                <w:rFonts w:cs="Times New Roman"/>
              </w:rPr>
            </w:pPr>
            <w:r w:rsidRPr="003B0B65">
              <w:rPr>
                <w:rFonts w:cs="Times New Roman"/>
              </w:rPr>
              <w:t>1,223</w:t>
            </w:r>
          </w:p>
        </w:tc>
        <w:tc>
          <w:tcPr>
            <w:tcW w:w="718" w:type="dxa"/>
            <w:shd w:val="clear" w:color="auto" w:fill="auto"/>
            <w:noWrap/>
            <w:hideMark/>
          </w:tcPr>
          <w:p w14:paraId="31EF18D0" w14:textId="77777777" w:rsidR="001A68AF" w:rsidRPr="003B0B65" w:rsidRDefault="001A68AF" w:rsidP="00617C73">
            <w:pPr>
              <w:jc w:val="both"/>
              <w:rPr>
                <w:rFonts w:cs="Times New Roman"/>
              </w:rPr>
            </w:pPr>
            <w:r w:rsidRPr="003B0B65">
              <w:rPr>
                <w:rFonts w:cs="Times New Roman"/>
              </w:rPr>
              <w:t>42</w:t>
            </w:r>
          </w:p>
        </w:tc>
        <w:tc>
          <w:tcPr>
            <w:tcW w:w="873" w:type="dxa"/>
            <w:shd w:val="clear" w:color="auto" w:fill="auto"/>
            <w:noWrap/>
            <w:hideMark/>
          </w:tcPr>
          <w:p w14:paraId="3C97AB0B" w14:textId="77777777" w:rsidR="001A68AF" w:rsidRPr="003B0B65" w:rsidRDefault="001A68AF" w:rsidP="00617C73">
            <w:pPr>
              <w:jc w:val="both"/>
              <w:rPr>
                <w:rFonts w:cs="Times New Roman"/>
              </w:rPr>
            </w:pPr>
            <w:r w:rsidRPr="003B0B65">
              <w:rPr>
                <w:rFonts w:cs="Times New Roman"/>
              </w:rPr>
              <w:t>273</w:t>
            </w:r>
          </w:p>
        </w:tc>
        <w:tc>
          <w:tcPr>
            <w:tcW w:w="508" w:type="dxa"/>
            <w:shd w:val="clear" w:color="auto" w:fill="auto"/>
            <w:noWrap/>
            <w:hideMark/>
          </w:tcPr>
          <w:p w14:paraId="2189A9C7" w14:textId="77777777" w:rsidR="001A68AF" w:rsidRPr="003B0B65" w:rsidRDefault="001A68AF" w:rsidP="00617C73">
            <w:pPr>
              <w:jc w:val="both"/>
              <w:rPr>
                <w:rFonts w:cs="Times New Roman"/>
              </w:rPr>
            </w:pPr>
            <w:r w:rsidRPr="003B0B65">
              <w:rPr>
                <w:rFonts w:cs="Times New Roman"/>
              </w:rPr>
              <w:t>762</w:t>
            </w:r>
          </w:p>
        </w:tc>
        <w:tc>
          <w:tcPr>
            <w:tcW w:w="626" w:type="dxa"/>
            <w:shd w:val="clear" w:color="auto" w:fill="auto"/>
            <w:noWrap/>
            <w:hideMark/>
          </w:tcPr>
          <w:p w14:paraId="3942F688" w14:textId="77777777" w:rsidR="001A68AF" w:rsidRPr="003B0B65" w:rsidRDefault="001A68AF" w:rsidP="00617C73">
            <w:pPr>
              <w:jc w:val="both"/>
              <w:rPr>
                <w:rFonts w:cs="Times New Roman"/>
              </w:rPr>
            </w:pPr>
            <w:r w:rsidRPr="003B0B65">
              <w:rPr>
                <w:rFonts w:cs="Times New Roman"/>
              </w:rPr>
              <w:t>2,300</w:t>
            </w:r>
          </w:p>
        </w:tc>
      </w:tr>
      <w:tr w:rsidR="001A68AF" w:rsidRPr="003B0B65" w14:paraId="51ACA795" w14:textId="77777777" w:rsidTr="00617C73">
        <w:trPr>
          <w:trHeight w:val="300"/>
          <w:jc w:val="center"/>
        </w:trPr>
        <w:tc>
          <w:tcPr>
            <w:tcW w:w="895" w:type="dxa"/>
            <w:shd w:val="clear" w:color="auto" w:fill="F2F2F2"/>
            <w:noWrap/>
            <w:hideMark/>
          </w:tcPr>
          <w:p w14:paraId="55DC4362" w14:textId="77777777" w:rsidR="001A68AF" w:rsidRPr="003B0B65" w:rsidRDefault="001A68AF" w:rsidP="00617C73">
            <w:pPr>
              <w:jc w:val="both"/>
              <w:rPr>
                <w:rFonts w:cs="Times New Roman"/>
                <w:bCs/>
              </w:rPr>
            </w:pPr>
            <w:r w:rsidRPr="003B0B65">
              <w:rPr>
                <w:rFonts w:cs="Times New Roman"/>
                <w:bCs/>
              </w:rPr>
              <w:t>2009</w:t>
            </w:r>
          </w:p>
        </w:tc>
        <w:tc>
          <w:tcPr>
            <w:tcW w:w="800" w:type="dxa"/>
            <w:shd w:val="clear" w:color="auto" w:fill="F2F2F2"/>
            <w:noWrap/>
            <w:hideMark/>
          </w:tcPr>
          <w:p w14:paraId="7E11E947" w14:textId="77777777" w:rsidR="001A68AF" w:rsidRPr="003B0B65" w:rsidRDefault="001A68AF" w:rsidP="00617C73">
            <w:pPr>
              <w:jc w:val="both"/>
              <w:rPr>
                <w:rFonts w:cs="Times New Roman"/>
              </w:rPr>
            </w:pPr>
            <w:r w:rsidRPr="003B0B65">
              <w:rPr>
                <w:rFonts w:cs="Times New Roman"/>
              </w:rPr>
              <w:t>1,782</w:t>
            </w:r>
          </w:p>
        </w:tc>
        <w:tc>
          <w:tcPr>
            <w:tcW w:w="718" w:type="dxa"/>
            <w:shd w:val="clear" w:color="auto" w:fill="F2F2F2"/>
            <w:noWrap/>
            <w:hideMark/>
          </w:tcPr>
          <w:p w14:paraId="102F5177" w14:textId="77777777" w:rsidR="001A68AF" w:rsidRPr="003B0B65" w:rsidRDefault="001A68AF" w:rsidP="00617C73">
            <w:pPr>
              <w:jc w:val="both"/>
              <w:rPr>
                <w:rFonts w:cs="Times New Roman"/>
              </w:rPr>
            </w:pPr>
            <w:r w:rsidRPr="003B0B65">
              <w:rPr>
                <w:rFonts w:cs="Times New Roman"/>
              </w:rPr>
              <w:t>43</w:t>
            </w:r>
          </w:p>
        </w:tc>
        <w:tc>
          <w:tcPr>
            <w:tcW w:w="873" w:type="dxa"/>
            <w:shd w:val="clear" w:color="auto" w:fill="F2F2F2"/>
            <w:noWrap/>
            <w:hideMark/>
          </w:tcPr>
          <w:p w14:paraId="025501B3" w14:textId="77777777" w:rsidR="001A68AF" w:rsidRPr="003B0B65" w:rsidRDefault="001A68AF" w:rsidP="00617C73">
            <w:pPr>
              <w:jc w:val="both"/>
              <w:rPr>
                <w:rFonts w:cs="Times New Roman"/>
              </w:rPr>
            </w:pPr>
            <w:r w:rsidRPr="003B0B65">
              <w:rPr>
                <w:rFonts w:cs="Times New Roman"/>
              </w:rPr>
              <w:t>207</w:t>
            </w:r>
          </w:p>
        </w:tc>
        <w:tc>
          <w:tcPr>
            <w:tcW w:w="508" w:type="dxa"/>
            <w:shd w:val="clear" w:color="auto" w:fill="F2F2F2"/>
            <w:noWrap/>
            <w:hideMark/>
          </w:tcPr>
          <w:p w14:paraId="122EDDBD" w14:textId="77777777" w:rsidR="001A68AF" w:rsidRPr="003B0B65" w:rsidRDefault="001A68AF" w:rsidP="00617C73">
            <w:pPr>
              <w:jc w:val="both"/>
              <w:rPr>
                <w:rFonts w:cs="Times New Roman"/>
              </w:rPr>
            </w:pPr>
            <w:r w:rsidRPr="003B0B65">
              <w:rPr>
                <w:rFonts w:cs="Times New Roman"/>
              </w:rPr>
              <w:t>672</w:t>
            </w:r>
          </w:p>
        </w:tc>
        <w:tc>
          <w:tcPr>
            <w:tcW w:w="626" w:type="dxa"/>
            <w:shd w:val="clear" w:color="auto" w:fill="F2F2F2"/>
            <w:noWrap/>
            <w:hideMark/>
          </w:tcPr>
          <w:p w14:paraId="2AFD477F" w14:textId="77777777" w:rsidR="001A68AF" w:rsidRPr="003B0B65" w:rsidRDefault="001A68AF" w:rsidP="00617C73">
            <w:pPr>
              <w:jc w:val="both"/>
              <w:rPr>
                <w:rFonts w:cs="Times New Roman"/>
              </w:rPr>
            </w:pPr>
            <w:r w:rsidRPr="003B0B65">
              <w:rPr>
                <w:rFonts w:cs="Times New Roman"/>
              </w:rPr>
              <w:t>2,704</w:t>
            </w:r>
          </w:p>
        </w:tc>
      </w:tr>
      <w:tr w:rsidR="001A68AF" w:rsidRPr="003B0B65" w14:paraId="4118A144" w14:textId="77777777" w:rsidTr="00617C73">
        <w:trPr>
          <w:trHeight w:val="300"/>
          <w:jc w:val="center"/>
        </w:trPr>
        <w:tc>
          <w:tcPr>
            <w:tcW w:w="895" w:type="dxa"/>
            <w:shd w:val="clear" w:color="auto" w:fill="auto"/>
            <w:noWrap/>
            <w:hideMark/>
          </w:tcPr>
          <w:p w14:paraId="67A5CDCD" w14:textId="77777777" w:rsidR="001A68AF" w:rsidRPr="003B0B65" w:rsidRDefault="001A68AF" w:rsidP="00617C73">
            <w:pPr>
              <w:jc w:val="both"/>
              <w:rPr>
                <w:rFonts w:cs="Times New Roman"/>
                <w:bCs/>
              </w:rPr>
            </w:pPr>
            <w:r w:rsidRPr="003B0B65">
              <w:rPr>
                <w:rFonts w:cs="Times New Roman"/>
                <w:bCs/>
              </w:rPr>
              <w:t>2010</w:t>
            </w:r>
          </w:p>
        </w:tc>
        <w:tc>
          <w:tcPr>
            <w:tcW w:w="800" w:type="dxa"/>
            <w:shd w:val="clear" w:color="auto" w:fill="auto"/>
            <w:noWrap/>
            <w:hideMark/>
          </w:tcPr>
          <w:p w14:paraId="5ED52709" w14:textId="77777777" w:rsidR="001A68AF" w:rsidRPr="003B0B65" w:rsidRDefault="001A68AF" w:rsidP="00617C73">
            <w:pPr>
              <w:jc w:val="both"/>
              <w:rPr>
                <w:rFonts w:cs="Times New Roman"/>
              </w:rPr>
            </w:pPr>
            <w:r w:rsidRPr="003B0B65">
              <w:rPr>
                <w:rFonts w:cs="Times New Roman"/>
              </w:rPr>
              <w:t>1,403</w:t>
            </w:r>
          </w:p>
        </w:tc>
        <w:tc>
          <w:tcPr>
            <w:tcW w:w="718" w:type="dxa"/>
            <w:shd w:val="clear" w:color="auto" w:fill="auto"/>
            <w:noWrap/>
            <w:hideMark/>
          </w:tcPr>
          <w:p w14:paraId="32475DE3" w14:textId="77777777" w:rsidR="001A68AF" w:rsidRPr="003B0B65" w:rsidRDefault="001A68AF" w:rsidP="00617C73">
            <w:pPr>
              <w:jc w:val="both"/>
              <w:rPr>
                <w:rFonts w:cs="Times New Roman"/>
              </w:rPr>
            </w:pPr>
            <w:r w:rsidRPr="003B0B65">
              <w:rPr>
                <w:rFonts w:cs="Times New Roman"/>
              </w:rPr>
              <w:t>192</w:t>
            </w:r>
          </w:p>
        </w:tc>
        <w:tc>
          <w:tcPr>
            <w:tcW w:w="873" w:type="dxa"/>
            <w:shd w:val="clear" w:color="auto" w:fill="auto"/>
            <w:noWrap/>
            <w:hideMark/>
          </w:tcPr>
          <w:p w14:paraId="76E98A3B" w14:textId="77777777" w:rsidR="001A68AF" w:rsidRPr="003B0B65" w:rsidRDefault="001A68AF" w:rsidP="00617C73">
            <w:pPr>
              <w:jc w:val="both"/>
              <w:rPr>
                <w:rFonts w:cs="Times New Roman"/>
              </w:rPr>
            </w:pPr>
            <w:r w:rsidRPr="003B0B65">
              <w:rPr>
                <w:rFonts w:cs="Times New Roman"/>
              </w:rPr>
              <w:t>36</w:t>
            </w:r>
          </w:p>
        </w:tc>
        <w:tc>
          <w:tcPr>
            <w:tcW w:w="508" w:type="dxa"/>
            <w:shd w:val="clear" w:color="auto" w:fill="auto"/>
            <w:noWrap/>
            <w:hideMark/>
          </w:tcPr>
          <w:p w14:paraId="7868DF2F" w14:textId="77777777" w:rsidR="001A68AF" w:rsidRPr="003B0B65" w:rsidRDefault="001A68AF" w:rsidP="00617C73">
            <w:pPr>
              <w:jc w:val="both"/>
              <w:rPr>
                <w:rFonts w:cs="Times New Roman"/>
              </w:rPr>
            </w:pPr>
            <w:r w:rsidRPr="003B0B65">
              <w:rPr>
                <w:rFonts w:cs="Times New Roman"/>
              </w:rPr>
              <w:t>526</w:t>
            </w:r>
          </w:p>
        </w:tc>
        <w:tc>
          <w:tcPr>
            <w:tcW w:w="626" w:type="dxa"/>
            <w:shd w:val="clear" w:color="auto" w:fill="auto"/>
            <w:noWrap/>
            <w:hideMark/>
          </w:tcPr>
          <w:p w14:paraId="6A4701B0" w14:textId="77777777" w:rsidR="001A68AF" w:rsidRPr="003B0B65" w:rsidRDefault="001A68AF" w:rsidP="00617C73">
            <w:pPr>
              <w:jc w:val="both"/>
              <w:rPr>
                <w:rFonts w:cs="Times New Roman"/>
              </w:rPr>
            </w:pPr>
            <w:r w:rsidRPr="003B0B65">
              <w:rPr>
                <w:rFonts w:cs="Times New Roman"/>
              </w:rPr>
              <w:t>2,157</w:t>
            </w:r>
          </w:p>
        </w:tc>
      </w:tr>
      <w:tr w:rsidR="001A68AF" w:rsidRPr="003B0B65" w14:paraId="168E85F8" w14:textId="77777777" w:rsidTr="00617C73">
        <w:trPr>
          <w:trHeight w:val="300"/>
          <w:jc w:val="center"/>
        </w:trPr>
        <w:tc>
          <w:tcPr>
            <w:tcW w:w="895" w:type="dxa"/>
            <w:shd w:val="clear" w:color="auto" w:fill="F2F2F2"/>
            <w:noWrap/>
            <w:hideMark/>
          </w:tcPr>
          <w:p w14:paraId="68EF8FDB" w14:textId="77777777" w:rsidR="001A68AF" w:rsidRPr="003B0B65" w:rsidRDefault="001A68AF" w:rsidP="00617C73">
            <w:pPr>
              <w:jc w:val="both"/>
              <w:rPr>
                <w:rFonts w:cs="Times New Roman"/>
                <w:bCs/>
              </w:rPr>
            </w:pPr>
            <w:r w:rsidRPr="003B0B65">
              <w:rPr>
                <w:rFonts w:cs="Times New Roman"/>
                <w:bCs/>
              </w:rPr>
              <w:t>2011</w:t>
            </w:r>
          </w:p>
        </w:tc>
        <w:tc>
          <w:tcPr>
            <w:tcW w:w="800" w:type="dxa"/>
            <w:shd w:val="clear" w:color="auto" w:fill="F2F2F2"/>
            <w:noWrap/>
            <w:hideMark/>
          </w:tcPr>
          <w:p w14:paraId="496EC2D0" w14:textId="77777777" w:rsidR="001A68AF" w:rsidRPr="003B0B65" w:rsidRDefault="001A68AF" w:rsidP="00617C73">
            <w:pPr>
              <w:jc w:val="both"/>
              <w:rPr>
                <w:rFonts w:cs="Times New Roman"/>
              </w:rPr>
            </w:pPr>
            <w:r w:rsidRPr="003B0B65">
              <w:rPr>
                <w:rFonts w:cs="Times New Roman"/>
              </w:rPr>
              <w:t>1,680</w:t>
            </w:r>
          </w:p>
        </w:tc>
        <w:tc>
          <w:tcPr>
            <w:tcW w:w="718" w:type="dxa"/>
            <w:shd w:val="clear" w:color="auto" w:fill="F2F2F2"/>
            <w:noWrap/>
            <w:hideMark/>
          </w:tcPr>
          <w:p w14:paraId="393481E0" w14:textId="77777777" w:rsidR="001A68AF" w:rsidRPr="003B0B65" w:rsidRDefault="001A68AF" w:rsidP="00617C73">
            <w:pPr>
              <w:jc w:val="both"/>
              <w:rPr>
                <w:rFonts w:cs="Times New Roman"/>
              </w:rPr>
            </w:pPr>
            <w:r w:rsidRPr="003B0B65">
              <w:rPr>
                <w:rFonts w:cs="Times New Roman"/>
              </w:rPr>
              <w:t>491</w:t>
            </w:r>
          </w:p>
        </w:tc>
        <w:tc>
          <w:tcPr>
            <w:tcW w:w="873" w:type="dxa"/>
            <w:shd w:val="clear" w:color="auto" w:fill="F2F2F2"/>
            <w:noWrap/>
            <w:hideMark/>
          </w:tcPr>
          <w:p w14:paraId="2E673FD3" w14:textId="77777777" w:rsidR="001A68AF" w:rsidRPr="003B0B65" w:rsidRDefault="001A68AF" w:rsidP="00617C73">
            <w:pPr>
              <w:jc w:val="both"/>
              <w:rPr>
                <w:rFonts w:cs="Times New Roman"/>
              </w:rPr>
            </w:pPr>
            <w:r w:rsidRPr="003B0B65">
              <w:rPr>
                <w:rFonts w:cs="Times New Roman"/>
              </w:rPr>
              <w:t>59</w:t>
            </w:r>
          </w:p>
        </w:tc>
        <w:tc>
          <w:tcPr>
            <w:tcW w:w="508" w:type="dxa"/>
            <w:shd w:val="clear" w:color="auto" w:fill="F2F2F2"/>
            <w:noWrap/>
            <w:hideMark/>
          </w:tcPr>
          <w:p w14:paraId="4A084623" w14:textId="77777777" w:rsidR="001A68AF" w:rsidRPr="003B0B65" w:rsidRDefault="001A68AF" w:rsidP="00617C73">
            <w:pPr>
              <w:jc w:val="both"/>
              <w:rPr>
                <w:rFonts w:cs="Times New Roman"/>
              </w:rPr>
            </w:pPr>
            <w:r w:rsidRPr="003B0B65">
              <w:rPr>
                <w:rFonts w:cs="Times New Roman"/>
              </w:rPr>
              <w:t>756</w:t>
            </w:r>
          </w:p>
        </w:tc>
        <w:tc>
          <w:tcPr>
            <w:tcW w:w="626" w:type="dxa"/>
            <w:shd w:val="clear" w:color="auto" w:fill="F2F2F2"/>
            <w:noWrap/>
            <w:hideMark/>
          </w:tcPr>
          <w:p w14:paraId="3A77874E" w14:textId="77777777" w:rsidR="001A68AF" w:rsidRPr="003B0B65" w:rsidRDefault="001A68AF" w:rsidP="00617C73">
            <w:pPr>
              <w:jc w:val="both"/>
              <w:rPr>
                <w:rFonts w:cs="Times New Roman"/>
              </w:rPr>
            </w:pPr>
            <w:r w:rsidRPr="003B0B65">
              <w:rPr>
                <w:rFonts w:cs="Times New Roman"/>
              </w:rPr>
              <w:t>2,986</w:t>
            </w:r>
          </w:p>
        </w:tc>
      </w:tr>
      <w:tr w:rsidR="001A68AF" w:rsidRPr="003B0B65" w14:paraId="06FEDC73" w14:textId="77777777" w:rsidTr="00617C73">
        <w:trPr>
          <w:trHeight w:val="300"/>
          <w:jc w:val="center"/>
        </w:trPr>
        <w:tc>
          <w:tcPr>
            <w:tcW w:w="895" w:type="dxa"/>
            <w:shd w:val="clear" w:color="auto" w:fill="auto"/>
            <w:noWrap/>
            <w:hideMark/>
          </w:tcPr>
          <w:p w14:paraId="74B62B45" w14:textId="77777777" w:rsidR="001A68AF" w:rsidRPr="003B0B65" w:rsidRDefault="001A68AF" w:rsidP="00617C73">
            <w:pPr>
              <w:jc w:val="both"/>
              <w:rPr>
                <w:rFonts w:cs="Times New Roman"/>
                <w:bCs/>
              </w:rPr>
            </w:pPr>
            <w:r w:rsidRPr="003B0B65">
              <w:rPr>
                <w:rFonts w:cs="Times New Roman"/>
                <w:bCs/>
              </w:rPr>
              <w:t>2012</w:t>
            </w:r>
          </w:p>
        </w:tc>
        <w:tc>
          <w:tcPr>
            <w:tcW w:w="800" w:type="dxa"/>
            <w:shd w:val="clear" w:color="auto" w:fill="auto"/>
            <w:noWrap/>
            <w:hideMark/>
          </w:tcPr>
          <w:p w14:paraId="0BA6EE68" w14:textId="77777777" w:rsidR="001A68AF" w:rsidRPr="003B0B65" w:rsidRDefault="001A68AF" w:rsidP="00617C73">
            <w:pPr>
              <w:jc w:val="both"/>
              <w:rPr>
                <w:rFonts w:cs="Times New Roman"/>
              </w:rPr>
            </w:pPr>
            <w:r w:rsidRPr="003B0B65">
              <w:rPr>
                <w:rFonts w:cs="Times New Roman"/>
              </w:rPr>
              <w:t>1,503</w:t>
            </w:r>
          </w:p>
        </w:tc>
        <w:tc>
          <w:tcPr>
            <w:tcW w:w="718" w:type="dxa"/>
            <w:shd w:val="clear" w:color="auto" w:fill="auto"/>
            <w:noWrap/>
            <w:hideMark/>
          </w:tcPr>
          <w:p w14:paraId="1E14B478" w14:textId="77777777" w:rsidR="001A68AF" w:rsidRPr="003B0B65" w:rsidRDefault="001A68AF" w:rsidP="00617C73">
            <w:pPr>
              <w:jc w:val="both"/>
              <w:rPr>
                <w:rFonts w:cs="Times New Roman"/>
              </w:rPr>
            </w:pPr>
            <w:r w:rsidRPr="003B0B65">
              <w:rPr>
                <w:rFonts w:cs="Times New Roman"/>
              </w:rPr>
              <w:t>418</w:t>
            </w:r>
          </w:p>
        </w:tc>
        <w:tc>
          <w:tcPr>
            <w:tcW w:w="873" w:type="dxa"/>
            <w:shd w:val="clear" w:color="auto" w:fill="auto"/>
            <w:noWrap/>
            <w:hideMark/>
          </w:tcPr>
          <w:p w14:paraId="1B5C2B46" w14:textId="77777777" w:rsidR="001A68AF" w:rsidRPr="003B0B65" w:rsidRDefault="001A68AF" w:rsidP="00617C73">
            <w:pPr>
              <w:jc w:val="both"/>
              <w:rPr>
                <w:rFonts w:cs="Times New Roman"/>
              </w:rPr>
            </w:pPr>
            <w:r w:rsidRPr="003B0B65">
              <w:rPr>
                <w:rFonts w:cs="Times New Roman"/>
              </w:rPr>
              <w:t>466</w:t>
            </w:r>
          </w:p>
        </w:tc>
        <w:tc>
          <w:tcPr>
            <w:tcW w:w="508" w:type="dxa"/>
            <w:shd w:val="clear" w:color="auto" w:fill="auto"/>
            <w:noWrap/>
            <w:hideMark/>
          </w:tcPr>
          <w:p w14:paraId="39F4E170" w14:textId="77777777" w:rsidR="001A68AF" w:rsidRPr="003B0B65" w:rsidRDefault="001A68AF" w:rsidP="00617C73">
            <w:pPr>
              <w:jc w:val="both"/>
              <w:rPr>
                <w:rFonts w:cs="Times New Roman"/>
              </w:rPr>
            </w:pPr>
            <w:r w:rsidRPr="003B0B65">
              <w:rPr>
                <w:rFonts w:cs="Times New Roman"/>
              </w:rPr>
              <w:t>738</w:t>
            </w:r>
          </w:p>
        </w:tc>
        <w:tc>
          <w:tcPr>
            <w:tcW w:w="626" w:type="dxa"/>
            <w:shd w:val="clear" w:color="auto" w:fill="auto"/>
            <w:noWrap/>
            <w:hideMark/>
          </w:tcPr>
          <w:p w14:paraId="02796AB2" w14:textId="77777777" w:rsidR="001A68AF" w:rsidRPr="003B0B65" w:rsidRDefault="001A68AF" w:rsidP="00617C73">
            <w:pPr>
              <w:jc w:val="both"/>
              <w:rPr>
                <w:rFonts w:cs="Times New Roman"/>
              </w:rPr>
            </w:pPr>
            <w:r w:rsidRPr="003B0B65">
              <w:rPr>
                <w:rFonts w:cs="Times New Roman"/>
              </w:rPr>
              <w:t>3,125</w:t>
            </w:r>
          </w:p>
        </w:tc>
      </w:tr>
      <w:tr w:rsidR="001A68AF" w:rsidRPr="003B0B65" w14:paraId="36555218" w14:textId="77777777" w:rsidTr="00617C73">
        <w:trPr>
          <w:trHeight w:val="300"/>
          <w:jc w:val="center"/>
        </w:trPr>
        <w:tc>
          <w:tcPr>
            <w:tcW w:w="895" w:type="dxa"/>
            <w:shd w:val="clear" w:color="auto" w:fill="F2F2F2"/>
            <w:noWrap/>
            <w:hideMark/>
          </w:tcPr>
          <w:p w14:paraId="7A5BDA94" w14:textId="77777777" w:rsidR="001A68AF" w:rsidRPr="003B0B65" w:rsidRDefault="001A68AF" w:rsidP="00617C73">
            <w:pPr>
              <w:jc w:val="both"/>
              <w:rPr>
                <w:rFonts w:cs="Times New Roman"/>
                <w:bCs/>
              </w:rPr>
            </w:pPr>
            <w:r w:rsidRPr="003B0B65">
              <w:rPr>
                <w:rFonts w:cs="Times New Roman"/>
                <w:bCs/>
              </w:rPr>
              <w:t>2013</w:t>
            </w:r>
          </w:p>
        </w:tc>
        <w:tc>
          <w:tcPr>
            <w:tcW w:w="800" w:type="dxa"/>
            <w:shd w:val="clear" w:color="auto" w:fill="F2F2F2"/>
            <w:noWrap/>
            <w:hideMark/>
          </w:tcPr>
          <w:p w14:paraId="30DD5672" w14:textId="77777777" w:rsidR="001A68AF" w:rsidRPr="003B0B65" w:rsidRDefault="001A68AF" w:rsidP="00617C73">
            <w:pPr>
              <w:jc w:val="both"/>
              <w:rPr>
                <w:rFonts w:cs="Times New Roman"/>
              </w:rPr>
            </w:pPr>
            <w:r w:rsidRPr="003B0B65">
              <w:rPr>
                <w:rFonts w:cs="Times New Roman"/>
              </w:rPr>
              <w:t>805</w:t>
            </w:r>
          </w:p>
        </w:tc>
        <w:tc>
          <w:tcPr>
            <w:tcW w:w="718" w:type="dxa"/>
            <w:shd w:val="clear" w:color="auto" w:fill="F2F2F2"/>
            <w:noWrap/>
            <w:hideMark/>
          </w:tcPr>
          <w:p w14:paraId="364A1354" w14:textId="77777777" w:rsidR="001A68AF" w:rsidRPr="003B0B65" w:rsidRDefault="001A68AF" w:rsidP="00617C73">
            <w:pPr>
              <w:jc w:val="both"/>
              <w:rPr>
                <w:rFonts w:cs="Times New Roman"/>
              </w:rPr>
            </w:pPr>
            <w:r w:rsidRPr="003B0B65">
              <w:rPr>
                <w:rFonts w:cs="Times New Roman"/>
              </w:rPr>
              <w:t>383</w:t>
            </w:r>
          </w:p>
        </w:tc>
        <w:tc>
          <w:tcPr>
            <w:tcW w:w="873" w:type="dxa"/>
            <w:shd w:val="clear" w:color="auto" w:fill="F2F2F2"/>
            <w:noWrap/>
            <w:hideMark/>
          </w:tcPr>
          <w:p w14:paraId="52D45508" w14:textId="77777777" w:rsidR="001A68AF" w:rsidRPr="003B0B65" w:rsidRDefault="001A68AF" w:rsidP="00617C73">
            <w:pPr>
              <w:jc w:val="both"/>
              <w:rPr>
                <w:rFonts w:cs="Times New Roman"/>
              </w:rPr>
            </w:pPr>
            <w:r w:rsidRPr="003B0B65">
              <w:rPr>
                <w:rFonts w:cs="Times New Roman"/>
              </w:rPr>
              <w:t>620</w:t>
            </w:r>
          </w:p>
        </w:tc>
        <w:tc>
          <w:tcPr>
            <w:tcW w:w="508" w:type="dxa"/>
            <w:shd w:val="clear" w:color="auto" w:fill="F2F2F2"/>
            <w:noWrap/>
            <w:hideMark/>
          </w:tcPr>
          <w:p w14:paraId="36CEF3BE" w14:textId="77777777" w:rsidR="001A68AF" w:rsidRPr="003B0B65" w:rsidRDefault="001A68AF" w:rsidP="00617C73">
            <w:pPr>
              <w:jc w:val="both"/>
              <w:rPr>
                <w:rFonts w:cs="Times New Roman"/>
              </w:rPr>
            </w:pPr>
            <w:r w:rsidRPr="003B0B65">
              <w:rPr>
                <w:rFonts w:cs="Times New Roman"/>
              </w:rPr>
              <w:t>737</w:t>
            </w:r>
          </w:p>
        </w:tc>
        <w:tc>
          <w:tcPr>
            <w:tcW w:w="626" w:type="dxa"/>
            <w:shd w:val="clear" w:color="auto" w:fill="F2F2F2"/>
            <w:noWrap/>
            <w:hideMark/>
          </w:tcPr>
          <w:p w14:paraId="3C697FB7" w14:textId="77777777" w:rsidR="001A68AF" w:rsidRPr="003B0B65" w:rsidRDefault="001A68AF" w:rsidP="00617C73">
            <w:pPr>
              <w:jc w:val="both"/>
              <w:rPr>
                <w:rFonts w:cs="Times New Roman"/>
              </w:rPr>
            </w:pPr>
            <w:r w:rsidRPr="003B0B65">
              <w:rPr>
                <w:rFonts w:cs="Times New Roman"/>
              </w:rPr>
              <w:t>2,545</w:t>
            </w:r>
          </w:p>
        </w:tc>
      </w:tr>
      <w:tr w:rsidR="001A68AF" w:rsidRPr="003B0B65" w14:paraId="04FAE739" w14:textId="77777777" w:rsidTr="00617C73">
        <w:trPr>
          <w:trHeight w:val="300"/>
          <w:jc w:val="center"/>
        </w:trPr>
        <w:tc>
          <w:tcPr>
            <w:tcW w:w="895" w:type="dxa"/>
            <w:shd w:val="clear" w:color="auto" w:fill="auto"/>
            <w:noWrap/>
            <w:hideMark/>
          </w:tcPr>
          <w:p w14:paraId="023B288E" w14:textId="77777777" w:rsidR="001A68AF" w:rsidRPr="003B0B65" w:rsidRDefault="001A68AF" w:rsidP="00617C73">
            <w:pPr>
              <w:jc w:val="both"/>
              <w:rPr>
                <w:rFonts w:cs="Times New Roman"/>
                <w:bCs/>
              </w:rPr>
            </w:pPr>
            <w:r w:rsidRPr="003B0B65">
              <w:rPr>
                <w:rFonts w:cs="Times New Roman"/>
                <w:bCs/>
              </w:rPr>
              <w:t>2014</w:t>
            </w:r>
          </w:p>
        </w:tc>
        <w:tc>
          <w:tcPr>
            <w:tcW w:w="800" w:type="dxa"/>
            <w:shd w:val="clear" w:color="auto" w:fill="auto"/>
            <w:noWrap/>
            <w:hideMark/>
          </w:tcPr>
          <w:p w14:paraId="328F8E27" w14:textId="77777777" w:rsidR="001A68AF" w:rsidRPr="003B0B65" w:rsidRDefault="001A68AF" w:rsidP="00617C73">
            <w:pPr>
              <w:jc w:val="both"/>
              <w:rPr>
                <w:rFonts w:cs="Times New Roman"/>
              </w:rPr>
            </w:pPr>
            <w:r w:rsidRPr="003B0B65">
              <w:rPr>
                <w:rFonts w:cs="Times New Roman"/>
              </w:rPr>
              <w:t>619</w:t>
            </w:r>
          </w:p>
        </w:tc>
        <w:tc>
          <w:tcPr>
            <w:tcW w:w="718" w:type="dxa"/>
            <w:shd w:val="clear" w:color="auto" w:fill="auto"/>
            <w:noWrap/>
            <w:hideMark/>
          </w:tcPr>
          <w:p w14:paraId="484D3B59" w14:textId="77777777" w:rsidR="001A68AF" w:rsidRPr="003B0B65" w:rsidRDefault="001A68AF" w:rsidP="00617C73">
            <w:pPr>
              <w:jc w:val="both"/>
              <w:rPr>
                <w:rFonts w:cs="Times New Roman"/>
              </w:rPr>
            </w:pPr>
            <w:r w:rsidRPr="003B0B65">
              <w:rPr>
                <w:rFonts w:cs="Times New Roman"/>
              </w:rPr>
              <w:t>351</w:t>
            </w:r>
          </w:p>
        </w:tc>
        <w:tc>
          <w:tcPr>
            <w:tcW w:w="873" w:type="dxa"/>
            <w:shd w:val="clear" w:color="auto" w:fill="auto"/>
            <w:noWrap/>
            <w:hideMark/>
          </w:tcPr>
          <w:p w14:paraId="55EA9342" w14:textId="77777777" w:rsidR="001A68AF" w:rsidRPr="003B0B65" w:rsidRDefault="001A68AF" w:rsidP="00617C73">
            <w:pPr>
              <w:jc w:val="both"/>
              <w:rPr>
                <w:rFonts w:cs="Times New Roman"/>
              </w:rPr>
            </w:pPr>
            <w:r w:rsidRPr="003B0B65">
              <w:rPr>
                <w:rFonts w:cs="Times New Roman"/>
              </w:rPr>
              <w:t>544</w:t>
            </w:r>
          </w:p>
        </w:tc>
        <w:tc>
          <w:tcPr>
            <w:tcW w:w="508" w:type="dxa"/>
            <w:shd w:val="clear" w:color="auto" w:fill="auto"/>
            <w:noWrap/>
            <w:hideMark/>
          </w:tcPr>
          <w:p w14:paraId="23202139" w14:textId="77777777" w:rsidR="001A68AF" w:rsidRPr="003B0B65" w:rsidRDefault="001A68AF" w:rsidP="00617C73">
            <w:pPr>
              <w:jc w:val="both"/>
              <w:rPr>
                <w:rFonts w:cs="Times New Roman"/>
              </w:rPr>
            </w:pPr>
            <w:r w:rsidRPr="003B0B65">
              <w:rPr>
                <w:rFonts w:cs="Times New Roman"/>
              </w:rPr>
              <w:t>476</w:t>
            </w:r>
          </w:p>
        </w:tc>
        <w:tc>
          <w:tcPr>
            <w:tcW w:w="626" w:type="dxa"/>
            <w:shd w:val="clear" w:color="auto" w:fill="auto"/>
            <w:noWrap/>
            <w:hideMark/>
          </w:tcPr>
          <w:p w14:paraId="22A73DCF" w14:textId="77777777" w:rsidR="001A68AF" w:rsidRPr="003B0B65" w:rsidRDefault="001A68AF" w:rsidP="00617C73">
            <w:pPr>
              <w:jc w:val="both"/>
              <w:rPr>
                <w:rFonts w:cs="Times New Roman"/>
              </w:rPr>
            </w:pPr>
            <w:r w:rsidRPr="003B0B65">
              <w:rPr>
                <w:rFonts w:cs="Times New Roman"/>
              </w:rPr>
              <w:t>1,990</w:t>
            </w:r>
          </w:p>
        </w:tc>
      </w:tr>
      <w:tr w:rsidR="001A68AF" w:rsidRPr="003B0B65" w14:paraId="6DE8DC1E" w14:textId="77777777" w:rsidTr="00617C73">
        <w:trPr>
          <w:trHeight w:val="300"/>
          <w:jc w:val="center"/>
        </w:trPr>
        <w:tc>
          <w:tcPr>
            <w:tcW w:w="895" w:type="dxa"/>
            <w:shd w:val="clear" w:color="auto" w:fill="F2F2F2"/>
            <w:noWrap/>
            <w:hideMark/>
          </w:tcPr>
          <w:p w14:paraId="288531F3" w14:textId="77777777" w:rsidR="001A68AF" w:rsidRPr="003B0B65" w:rsidRDefault="001A68AF" w:rsidP="00617C73">
            <w:pPr>
              <w:jc w:val="both"/>
              <w:rPr>
                <w:rFonts w:cs="Times New Roman"/>
                <w:bCs/>
              </w:rPr>
            </w:pPr>
            <w:r w:rsidRPr="003B0B65">
              <w:rPr>
                <w:rFonts w:cs="Times New Roman"/>
                <w:bCs/>
              </w:rPr>
              <w:t>2015</w:t>
            </w:r>
          </w:p>
        </w:tc>
        <w:tc>
          <w:tcPr>
            <w:tcW w:w="800" w:type="dxa"/>
            <w:shd w:val="clear" w:color="auto" w:fill="F2F2F2"/>
            <w:noWrap/>
            <w:hideMark/>
          </w:tcPr>
          <w:p w14:paraId="18DA129E" w14:textId="77777777" w:rsidR="001A68AF" w:rsidRPr="003B0B65" w:rsidRDefault="001A68AF" w:rsidP="00617C73">
            <w:pPr>
              <w:jc w:val="both"/>
              <w:rPr>
                <w:rFonts w:cs="Times New Roman"/>
              </w:rPr>
            </w:pPr>
            <w:r w:rsidRPr="003B0B65">
              <w:rPr>
                <w:rFonts w:cs="Times New Roman"/>
              </w:rPr>
              <w:t>591</w:t>
            </w:r>
          </w:p>
        </w:tc>
        <w:tc>
          <w:tcPr>
            <w:tcW w:w="718" w:type="dxa"/>
            <w:shd w:val="clear" w:color="auto" w:fill="F2F2F2"/>
            <w:noWrap/>
            <w:hideMark/>
          </w:tcPr>
          <w:p w14:paraId="0108FAFD" w14:textId="77777777" w:rsidR="001A68AF" w:rsidRPr="003B0B65" w:rsidRDefault="001A68AF" w:rsidP="00617C73">
            <w:pPr>
              <w:jc w:val="both"/>
              <w:rPr>
                <w:rFonts w:cs="Times New Roman"/>
              </w:rPr>
            </w:pPr>
            <w:r w:rsidRPr="003B0B65">
              <w:rPr>
                <w:rFonts w:cs="Times New Roman"/>
              </w:rPr>
              <w:t>365</w:t>
            </w:r>
          </w:p>
        </w:tc>
        <w:tc>
          <w:tcPr>
            <w:tcW w:w="873" w:type="dxa"/>
            <w:shd w:val="clear" w:color="auto" w:fill="F2F2F2"/>
            <w:noWrap/>
            <w:hideMark/>
          </w:tcPr>
          <w:p w14:paraId="5091693E" w14:textId="77777777" w:rsidR="001A68AF" w:rsidRPr="003B0B65" w:rsidRDefault="001A68AF" w:rsidP="00617C73">
            <w:pPr>
              <w:jc w:val="both"/>
              <w:rPr>
                <w:rFonts w:cs="Times New Roman"/>
              </w:rPr>
            </w:pPr>
            <w:r w:rsidRPr="003B0B65">
              <w:rPr>
                <w:rFonts w:cs="Times New Roman"/>
              </w:rPr>
              <w:t>769</w:t>
            </w:r>
          </w:p>
        </w:tc>
        <w:tc>
          <w:tcPr>
            <w:tcW w:w="508" w:type="dxa"/>
            <w:shd w:val="clear" w:color="auto" w:fill="F2F2F2"/>
            <w:noWrap/>
            <w:hideMark/>
          </w:tcPr>
          <w:p w14:paraId="757F453D" w14:textId="77777777" w:rsidR="001A68AF" w:rsidRPr="003B0B65" w:rsidRDefault="001A68AF" w:rsidP="00617C73">
            <w:pPr>
              <w:jc w:val="both"/>
              <w:rPr>
                <w:rFonts w:cs="Times New Roman"/>
              </w:rPr>
            </w:pPr>
            <w:r w:rsidRPr="003B0B65">
              <w:rPr>
                <w:rFonts w:cs="Times New Roman"/>
              </w:rPr>
              <w:t>739</w:t>
            </w:r>
          </w:p>
        </w:tc>
        <w:tc>
          <w:tcPr>
            <w:tcW w:w="626" w:type="dxa"/>
            <w:shd w:val="clear" w:color="auto" w:fill="F2F2F2"/>
            <w:noWrap/>
            <w:hideMark/>
          </w:tcPr>
          <w:p w14:paraId="2E903909" w14:textId="77777777" w:rsidR="001A68AF" w:rsidRPr="003B0B65" w:rsidRDefault="001A68AF" w:rsidP="00617C73">
            <w:pPr>
              <w:jc w:val="both"/>
              <w:rPr>
                <w:rFonts w:cs="Times New Roman"/>
              </w:rPr>
            </w:pPr>
            <w:r w:rsidRPr="003B0B65">
              <w:rPr>
                <w:rFonts w:cs="Times New Roman"/>
              </w:rPr>
              <w:t>2,464</w:t>
            </w:r>
          </w:p>
        </w:tc>
      </w:tr>
      <w:tr w:rsidR="001A68AF" w:rsidRPr="003B0B65" w14:paraId="7066F9E6" w14:textId="77777777" w:rsidTr="00617C73">
        <w:trPr>
          <w:trHeight w:val="300"/>
          <w:jc w:val="center"/>
        </w:trPr>
        <w:tc>
          <w:tcPr>
            <w:tcW w:w="895" w:type="dxa"/>
            <w:shd w:val="clear" w:color="auto" w:fill="auto"/>
            <w:noWrap/>
            <w:hideMark/>
          </w:tcPr>
          <w:p w14:paraId="1951608A" w14:textId="77777777" w:rsidR="001A68AF" w:rsidRPr="003B0B65" w:rsidRDefault="001A68AF" w:rsidP="00617C73">
            <w:pPr>
              <w:jc w:val="both"/>
              <w:rPr>
                <w:rFonts w:cs="Times New Roman"/>
                <w:bCs/>
              </w:rPr>
            </w:pPr>
            <w:r w:rsidRPr="003B0B65">
              <w:rPr>
                <w:rFonts w:cs="Times New Roman"/>
                <w:bCs/>
              </w:rPr>
              <w:t>2016</w:t>
            </w:r>
          </w:p>
        </w:tc>
        <w:tc>
          <w:tcPr>
            <w:tcW w:w="800" w:type="dxa"/>
            <w:shd w:val="clear" w:color="auto" w:fill="auto"/>
            <w:noWrap/>
            <w:hideMark/>
          </w:tcPr>
          <w:p w14:paraId="61F14880" w14:textId="77777777" w:rsidR="001A68AF" w:rsidRPr="003B0B65" w:rsidRDefault="001A68AF" w:rsidP="00617C73">
            <w:pPr>
              <w:jc w:val="both"/>
              <w:rPr>
                <w:rFonts w:cs="Times New Roman"/>
              </w:rPr>
            </w:pPr>
            <w:r w:rsidRPr="003B0B65">
              <w:rPr>
                <w:rFonts w:cs="Times New Roman"/>
              </w:rPr>
              <w:t>426</w:t>
            </w:r>
          </w:p>
        </w:tc>
        <w:tc>
          <w:tcPr>
            <w:tcW w:w="718" w:type="dxa"/>
            <w:shd w:val="clear" w:color="auto" w:fill="auto"/>
            <w:noWrap/>
            <w:hideMark/>
          </w:tcPr>
          <w:p w14:paraId="00774373" w14:textId="77777777" w:rsidR="001A68AF" w:rsidRPr="003B0B65" w:rsidRDefault="001A68AF" w:rsidP="00617C73">
            <w:pPr>
              <w:jc w:val="both"/>
              <w:rPr>
                <w:rFonts w:cs="Times New Roman"/>
              </w:rPr>
            </w:pPr>
            <w:r w:rsidRPr="003B0B65">
              <w:rPr>
                <w:rFonts w:cs="Times New Roman"/>
              </w:rPr>
              <w:t>244</w:t>
            </w:r>
          </w:p>
        </w:tc>
        <w:tc>
          <w:tcPr>
            <w:tcW w:w="873" w:type="dxa"/>
            <w:shd w:val="clear" w:color="auto" w:fill="auto"/>
            <w:noWrap/>
            <w:hideMark/>
          </w:tcPr>
          <w:p w14:paraId="7A634A4C" w14:textId="77777777" w:rsidR="001A68AF" w:rsidRPr="003B0B65" w:rsidRDefault="001A68AF" w:rsidP="00617C73">
            <w:pPr>
              <w:jc w:val="both"/>
              <w:rPr>
                <w:rFonts w:cs="Times New Roman"/>
              </w:rPr>
            </w:pPr>
            <w:r w:rsidRPr="003B0B65">
              <w:rPr>
                <w:rFonts w:cs="Times New Roman"/>
              </w:rPr>
              <w:t>660</w:t>
            </w:r>
          </w:p>
        </w:tc>
        <w:tc>
          <w:tcPr>
            <w:tcW w:w="508" w:type="dxa"/>
            <w:shd w:val="clear" w:color="auto" w:fill="auto"/>
            <w:noWrap/>
            <w:hideMark/>
          </w:tcPr>
          <w:p w14:paraId="4E26364D" w14:textId="77777777" w:rsidR="001A68AF" w:rsidRPr="003B0B65" w:rsidRDefault="001A68AF" w:rsidP="00617C73">
            <w:pPr>
              <w:jc w:val="both"/>
              <w:rPr>
                <w:rFonts w:cs="Times New Roman"/>
              </w:rPr>
            </w:pPr>
            <w:r w:rsidRPr="003B0B65">
              <w:rPr>
                <w:rFonts w:cs="Times New Roman"/>
              </w:rPr>
              <w:t>507</w:t>
            </w:r>
          </w:p>
        </w:tc>
        <w:tc>
          <w:tcPr>
            <w:tcW w:w="626" w:type="dxa"/>
            <w:shd w:val="clear" w:color="auto" w:fill="auto"/>
            <w:noWrap/>
            <w:hideMark/>
          </w:tcPr>
          <w:p w14:paraId="2AFE148C" w14:textId="77777777" w:rsidR="001A68AF" w:rsidRPr="003B0B65" w:rsidRDefault="001A68AF" w:rsidP="00617C73">
            <w:pPr>
              <w:jc w:val="both"/>
              <w:rPr>
                <w:rFonts w:cs="Times New Roman"/>
              </w:rPr>
            </w:pPr>
            <w:r w:rsidRPr="003B0B65">
              <w:rPr>
                <w:rFonts w:cs="Times New Roman"/>
              </w:rPr>
              <w:t>1,837</w:t>
            </w:r>
          </w:p>
        </w:tc>
      </w:tr>
      <w:tr w:rsidR="001A68AF" w:rsidRPr="003B0B65" w14:paraId="2DC0149A" w14:textId="77777777" w:rsidTr="00617C73">
        <w:trPr>
          <w:trHeight w:val="300"/>
          <w:jc w:val="center"/>
        </w:trPr>
        <w:tc>
          <w:tcPr>
            <w:tcW w:w="895" w:type="dxa"/>
            <w:shd w:val="clear" w:color="auto" w:fill="F2F2F2"/>
            <w:hideMark/>
          </w:tcPr>
          <w:p w14:paraId="398DF1DA" w14:textId="77777777" w:rsidR="001A68AF" w:rsidRPr="003B0B65" w:rsidRDefault="001A68AF" w:rsidP="00617C73">
            <w:pPr>
              <w:jc w:val="both"/>
              <w:rPr>
                <w:rFonts w:cs="Times New Roman"/>
                <w:bCs/>
              </w:rPr>
            </w:pPr>
            <w:r w:rsidRPr="003B0B65">
              <w:rPr>
                <w:rFonts w:cs="Times New Roman"/>
                <w:bCs/>
              </w:rPr>
              <w:t>ago-17</w:t>
            </w:r>
          </w:p>
        </w:tc>
        <w:tc>
          <w:tcPr>
            <w:tcW w:w="800" w:type="dxa"/>
            <w:shd w:val="clear" w:color="auto" w:fill="F2F2F2"/>
            <w:noWrap/>
            <w:hideMark/>
          </w:tcPr>
          <w:p w14:paraId="1584176F" w14:textId="77777777" w:rsidR="001A68AF" w:rsidRPr="003B0B65" w:rsidRDefault="001A68AF" w:rsidP="00617C73">
            <w:pPr>
              <w:jc w:val="both"/>
              <w:rPr>
                <w:rFonts w:cs="Times New Roman"/>
              </w:rPr>
            </w:pPr>
            <w:r w:rsidRPr="003B0B65">
              <w:rPr>
                <w:rFonts w:cs="Times New Roman"/>
              </w:rPr>
              <w:t>252</w:t>
            </w:r>
          </w:p>
        </w:tc>
        <w:tc>
          <w:tcPr>
            <w:tcW w:w="718" w:type="dxa"/>
            <w:shd w:val="clear" w:color="auto" w:fill="F2F2F2"/>
            <w:noWrap/>
            <w:hideMark/>
          </w:tcPr>
          <w:p w14:paraId="0783ABA2" w14:textId="77777777" w:rsidR="001A68AF" w:rsidRPr="003B0B65" w:rsidRDefault="001A68AF" w:rsidP="00617C73">
            <w:pPr>
              <w:jc w:val="both"/>
              <w:rPr>
                <w:rFonts w:cs="Times New Roman"/>
              </w:rPr>
            </w:pPr>
            <w:r w:rsidRPr="003B0B65">
              <w:rPr>
                <w:rFonts w:cs="Times New Roman"/>
              </w:rPr>
              <w:t>162</w:t>
            </w:r>
          </w:p>
        </w:tc>
        <w:tc>
          <w:tcPr>
            <w:tcW w:w="873" w:type="dxa"/>
            <w:shd w:val="clear" w:color="auto" w:fill="F2F2F2"/>
            <w:noWrap/>
            <w:hideMark/>
          </w:tcPr>
          <w:p w14:paraId="615C2311" w14:textId="77777777" w:rsidR="001A68AF" w:rsidRPr="003B0B65" w:rsidRDefault="001A68AF" w:rsidP="00617C73">
            <w:pPr>
              <w:jc w:val="both"/>
              <w:rPr>
                <w:rFonts w:cs="Times New Roman"/>
              </w:rPr>
            </w:pPr>
            <w:r w:rsidRPr="003B0B65">
              <w:rPr>
                <w:rFonts w:cs="Times New Roman"/>
              </w:rPr>
              <w:t>270</w:t>
            </w:r>
          </w:p>
        </w:tc>
        <w:tc>
          <w:tcPr>
            <w:tcW w:w="508" w:type="dxa"/>
            <w:shd w:val="clear" w:color="auto" w:fill="F2F2F2"/>
            <w:noWrap/>
            <w:hideMark/>
          </w:tcPr>
          <w:p w14:paraId="26BA2C61" w14:textId="77777777" w:rsidR="001A68AF" w:rsidRPr="003B0B65" w:rsidRDefault="001A68AF" w:rsidP="00617C73">
            <w:pPr>
              <w:jc w:val="both"/>
              <w:rPr>
                <w:rFonts w:cs="Times New Roman"/>
              </w:rPr>
            </w:pPr>
            <w:r w:rsidRPr="003B0B65">
              <w:rPr>
                <w:rFonts w:cs="Times New Roman"/>
              </w:rPr>
              <w:t>261</w:t>
            </w:r>
          </w:p>
        </w:tc>
        <w:tc>
          <w:tcPr>
            <w:tcW w:w="626" w:type="dxa"/>
            <w:shd w:val="clear" w:color="auto" w:fill="F2F2F2"/>
            <w:noWrap/>
            <w:hideMark/>
          </w:tcPr>
          <w:p w14:paraId="4F45399D" w14:textId="77777777" w:rsidR="001A68AF" w:rsidRPr="003B0B65" w:rsidRDefault="001A68AF" w:rsidP="00617C73">
            <w:pPr>
              <w:jc w:val="both"/>
              <w:rPr>
                <w:rFonts w:cs="Times New Roman"/>
              </w:rPr>
            </w:pPr>
            <w:r w:rsidRPr="003B0B65">
              <w:rPr>
                <w:rFonts w:cs="Times New Roman"/>
              </w:rPr>
              <w:t>945</w:t>
            </w:r>
          </w:p>
        </w:tc>
      </w:tr>
      <w:tr w:rsidR="001A68AF" w:rsidRPr="003B0B65" w14:paraId="38B9AD08" w14:textId="77777777" w:rsidTr="00617C73">
        <w:trPr>
          <w:trHeight w:val="300"/>
          <w:jc w:val="center"/>
        </w:trPr>
        <w:tc>
          <w:tcPr>
            <w:tcW w:w="895" w:type="dxa"/>
            <w:shd w:val="clear" w:color="auto" w:fill="auto"/>
            <w:noWrap/>
            <w:hideMark/>
          </w:tcPr>
          <w:p w14:paraId="3CE3263F" w14:textId="77777777" w:rsidR="001A68AF" w:rsidRPr="003B0B65" w:rsidRDefault="001A68AF" w:rsidP="00617C73">
            <w:pPr>
              <w:jc w:val="both"/>
              <w:rPr>
                <w:rFonts w:cs="Times New Roman"/>
                <w:b/>
                <w:bCs/>
              </w:rPr>
            </w:pPr>
            <w:r w:rsidRPr="003B0B65">
              <w:rPr>
                <w:rFonts w:cs="Times New Roman"/>
                <w:b/>
                <w:bCs/>
              </w:rPr>
              <w:t>Total</w:t>
            </w:r>
          </w:p>
        </w:tc>
        <w:tc>
          <w:tcPr>
            <w:tcW w:w="800" w:type="dxa"/>
            <w:shd w:val="clear" w:color="auto" w:fill="auto"/>
            <w:noWrap/>
            <w:hideMark/>
          </w:tcPr>
          <w:p w14:paraId="713F119B" w14:textId="77777777" w:rsidR="001A68AF" w:rsidRPr="003B0B65" w:rsidRDefault="001A68AF" w:rsidP="00617C73">
            <w:pPr>
              <w:jc w:val="both"/>
              <w:rPr>
                <w:rFonts w:cs="Times New Roman"/>
                <w:b/>
              </w:rPr>
            </w:pPr>
            <w:r w:rsidRPr="003B0B65">
              <w:rPr>
                <w:rFonts w:cs="Times New Roman"/>
                <w:b/>
              </w:rPr>
              <w:t>10,656</w:t>
            </w:r>
          </w:p>
        </w:tc>
        <w:tc>
          <w:tcPr>
            <w:tcW w:w="718" w:type="dxa"/>
            <w:shd w:val="clear" w:color="auto" w:fill="auto"/>
            <w:noWrap/>
            <w:hideMark/>
          </w:tcPr>
          <w:p w14:paraId="1B935588" w14:textId="77777777" w:rsidR="001A68AF" w:rsidRPr="003B0B65" w:rsidRDefault="001A68AF" w:rsidP="00617C73">
            <w:pPr>
              <w:jc w:val="both"/>
              <w:rPr>
                <w:rFonts w:cs="Times New Roman"/>
                <w:b/>
              </w:rPr>
            </w:pPr>
            <w:r w:rsidRPr="003B0B65">
              <w:rPr>
                <w:rFonts w:cs="Times New Roman"/>
                <w:b/>
              </w:rPr>
              <w:t>2,723</w:t>
            </w:r>
          </w:p>
        </w:tc>
        <w:tc>
          <w:tcPr>
            <w:tcW w:w="873" w:type="dxa"/>
            <w:shd w:val="clear" w:color="auto" w:fill="auto"/>
            <w:noWrap/>
            <w:hideMark/>
          </w:tcPr>
          <w:p w14:paraId="7E44FD5F" w14:textId="77777777" w:rsidR="001A68AF" w:rsidRPr="003B0B65" w:rsidRDefault="001A68AF" w:rsidP="00617C73">
            <w:pPr>
              <w:jc w:val="both"/>
              <w:rPr>
                <w:rFonts w:cs="Times New Roman"/>
                <w:b/>
              </w:rPr>
            </w:pPr>
            <w:r w:rsidRPr="003B0B65">
              <w:rPr>
                <w:rFonts w:cs="Times New Roman"/>
                <w:b/>
              </w:rPr>
              <w:t>4,043</w:t>
            </w:r>
          </w:p>
        </w:tc>
        <w:tc>
          <w:tcPr>
            <w:tcW w:w="508" w:type="dxa"/>
            <w:shd w:val="clear" w:color="auto" w:fill="auto"/>
            <w:noWrap/>
            <w:hideMark/>
          </w:tcPr>
          <w:p w14:paraId="37B923D7" w14:textId="77777777" w:rsidR="001A68AF" w:rsidRPr="003B0B65" w:rsidRDefault="001A68AF" w:rsidP="00617C73">
            <w:pPr>
              <w:jc w:val="both"/>
              <w:rPr>
                <w:rFonts w:cs="Times New Roman"/>
                <w:b/>
              </w:rPr>
            </w:pPr>
            <w:r w:rsidRPr="003B0B65">
              <w:rPr>
                <w:rFonts w:cs="Times New Roman"/>
                <w:b/>
              </w:rPr>
              <w:t>6,870</w:t>
            </w:r>
          </w:p>
        </w:tc>
        <w:tc>
          <w:tcPr>
            <w:tcW w:w="626" w:type="dxa"/>
            <w:shd w:val="clear" w:color="auto" w:fill="auto"/>
            <w:noWrap/>
            <w:hideMark/>
          </w:tcPr>
          <w:p w14:paraId="54A0D289" w14:textId="77777777" w:rsidR="001A68AF" w:rsidRPr="003B0B65" w:rsidRDefault="001A68AF" w:rsidP="00617C73">
            <w:pPr>
              <w:jc w:val="both"/>
              <w:rPr>
                <w:rFonts w:cs="Times New Roman"/>
                <w:b/>
              </w:rPr>
            </w:pPr>
            <w:r w:rsidRPr="003B0B65">
              <w:rPr>
                <w:rFonts w:cs="Times New Roman"/>
                <w:b/>
              </w:rPr>
              <w:t>24,292</w:t>
            </w:r>
          </w:p>
        </w:tc>
      </w:tr>
    </w:tbl>
    <w:p w14:paraId="462FEEE3" w14:textId="77777777" w:rsidR="001A68AF" w:rsidRPr="003B0B65" w:rsidRDefault="001A68AF" w:rsidP="001A68AF">
      <w:pPr>
        <w:pStyle w:val="Ttulo1"/>
        <w:jc w:val="both"/>
        <w:rPr>
          <w:rFonts w:ascii="Times New Roman" w:hAnsi="Times New Roman" w:cs="Times New Roman"/>
        </w:rPr>
      </w:pPr>
      <w:r w:rsidRPr="003B0B65">
        <w:rPr>
          <w:rFonts w:ascii="Times New Roman" w:hAnsi="Times New Roman" w:cs="Times New Roman"/>
        </w:rPr>
        <w:t>Tortura</w:t>
      </w:r>
    </w:p>
    <w:p w14:paraId="37EC5248" w14:textId="77777777" w:rsidR="001A68AF" w:rsidRPr="003B0B65" w:rsidRDefault="001A68AF" w:rsidP="001A68AF">
      <w:pPr>
        <w:jc w:val="both"/>
        <w:rPr>
          <w:rFonts w:cs="Times New Roman"/>
          <w:szCs w:val="20"/>
        </w:rPr>
      </w:pPr>
      <w:r>
        <w:rPr>
          <w:rFonts w:cs="Times New Roman"/>
          <w:szCs w:val="20"/>
        </w:rPr>
        <w:t xml:space="preserve">Denuncias </w:t>
      </w:r>
      <w:r w:rsidRPr="003B0B65">
        <w:rPr>
          <w:rFonts w:cs="Times New Roman"/>
          <w:szCs w:val="20"/>
        </w:rPr>
        <w:t xml:space="preserve">por tortura </w:t>
      </w:r>
      <w:r>
        <w:rPr>
          <w:rFonts w:cs="Times New Roman"/>
          <w:szCs w:val="20"/>
        </w:rPr>
        <w:t xml:space="preserve">en PGR </w:t>
      </w:r>
      <w:r w:rsidRPr="003B0B65">
        <w:rPr>
          <w:rFonts w:cs="Times New Roman"/>
          <w:szCs w:val="20"/>
        </w:rPr>
        <w:t>de 2006 al 31 de diciembre de 2014, 1,273 denuncias</w:t>
      </w:r>
      <w:r w:rsidRPr="003B0B65">
        <w:rPr>
          <w:rStyle w:val="Refdenotaalpie"/>
          <w:rFonts w:cs="Times New Roman"/>
          <w:szCs w:val="20"/>
        </w:rPr>
        <w:footnoteReference w:id="3"/>
      </w:r>
      <w:r w:rsidRPr="003B0B65">
        <w:rPr>
          <w:rFonts w:cs="Times New Roman"/>
          <w:szCs w:val="20"/>
        </w:rPr>
        <w:t xml:space="preserve"> </w:t>
      </w:r>
    </w:p>
    <w:p w14:paraId="001D6981" w14:textId="77777777" w:rsidR="001A68AF" w:rsidRPr="003B0B65" w:rsidRDefault="001A68AF" w:rsidP="001A68AF">
      <w:pPr>
        <w:jc w:val="both"/>
        <w:rPr>
          <w:rFonts w:cs="Times New Roman"/>
          <w:szCs w:val="20"/>
        </w:rPr>
      </w:pPr>
      <w:r>
        <w:rPr>
          <w:rFonts w:cs="Times New Roman"/>
          <w:szCs w:val="20"/>
        </w:rPr>
        <w:t>A</w:t>
      </w:r>
      <w:r w:rsidRPr="003B0B65">
        <w:rPr>
          <w:rFonts w:cs="Times New Roman"/>
          <w:szCs w:val="20"/>
        </w:rPr>
        <w:t>veriguaciones previas y carpetas de in</w:t>
      </w:r>
      <w:r>
        <w:rPr>
          <w:rFonts w:cs="Times New Roman"/>
          <w:szCs w:val="20"/>
        </w:rPr>
        <w:t>vestigación abiertas: 1,145</w:t>
      </w:r>
      <w:r w:rsidRPr="003B0B65">
        <w:rPr>
          <w:rStyle w:val="Refdenotaalpie"/>
          <w:rFonts w:cs="Times New Roman"/>
          <w:szCs w:val="20"/>
        </w:rPr>
        <w:footnoteReference w:id="4"/>
      </w:r>
      <w:r w:rsidRPr="003B0B65">
        <w:rPr>
          <w:rFonts w:cs="Times New Roman"/>
          <w:szCs w:val="20"/>
        </w:rPr>
        <w:t xml:space="preserve"> de 2015 a 2017, de las cuales sólo han sido consignados cuatro expedientes</w:t>
      </w:r>
      <w:r w:rsidRPr="003B0B65">
        <w:rPr>
          <w:rStyle w:val="Refdenotaalpie"/>
          <w:rFonts w:cs="Times New Roman"/>
          <w:szCs w:val="20"/>
        </w:rPr>
        <w:footnoteReference w:id="5"/>
      </w:r>
      <w:r w:rsidRPr="003B0B65">
        <w:rPr>
          <w:rFonts w:cs="Times New Roman"/>
          <w:szCs w:val="20"/>
        </w:rPr>
        <w:t xml:space="preserve">. </w:t>
      </w:r>
    </w:p>
    <w:p w14:paraId="03652912" w14:textId="77777777" w:rsidR="001A68AF" w:rsidRPr="00DA3006" w:rsidRDefault="001A68AF" w:rsidP="001A68AF">
      <w:pPr>
        <w:spacing w:after="120"/>
        <w:jc w:val="both"/>
        <w:rPr>
          <w:rFonts w:cs="Times New Roman"/>
          <w:szCs w:val="20"/>
        </w:rPr>
      </w:pPr>
      <w:r>
        <w:rPr>
          <w:rFonts w:cs="Times New Roman"/>
          <w:szCs w:val="20"/>
        </w:rPr>
        <w:t>Elementos del ejército privados de la libertad en</w:t>
      </w:r>
      <w:r w:rsidRPr="003B0B65">
        <w:rPr>
          <w:rFonts w:cs="Times New Roman"/>
          <w:szCs w:val="20"/>
        </w:rPr>
        <w:t xml:space="preserve"> prisiones militares</w:t>
      </w:r>
      <w:r>
        <w:rPr>
          <w:rFonts w:cs="Times New Roman"/>
          <w:szCs w:val="20"/>
        </w:rPr>
        <w:t xml:space="preserve"> por tortura: 26.</w:t>
      </w:r>
      <w:r w:rsidRPr="003B0B65">
        <w:rPr>
          <w:rFonts w:cs="Times New Roman"/>
          <w:szCs w:val="20"/>
        </w:rPr>
        <w:t xml:space="preserve"> </w:t>
      </w:r>
      <w:r>
        <w:rPr>
          <w:rFonts w:cs="Times New Roman"/>
          <w:szCs w:val="20"/>
        </w:rPr>
        <w:t xml:space="preserve">Sólo </w:t>
      </w:r>
      <w:r w:rsidRPr="003B0B65">
        <w:rPr>
          <w:rFonts w:cs="Times New Roman"/>
          <w:szCs w:val="20"/>
        </w:rPr>
        <w:t>6 han sido sentenciados y 20 están siendo procesados</w:t>
      </w:r>
      <w:r w:rsidRPr="003B0B65">
        <w:rPr>
          <w:rStyle w:val="Refdenotaalpie"/>
          <w:rFonts w:cs="Times New Roman"/>
          <w:szCs w:val="20"/>
        </w:rPr>
        <w:footnoteReference w:id="6"/>
      </w:r>
      <w:r w:rsidRPr="003B0B65">
        <w:rPr>
          <w:rFonts w:cs="Times New Roman"/>
          <w:szCs w:val="20"/>
        </w:rPr>
        <w:t xml:space="preserve">. </w:t>
      </w:r>
    </w:p>
    <w:p w14:paraId="5AE55BA6" w14:textId="77777777" w:rsidR="001A68AF" w:rsidRPr="00DA3006" w:rsidRDefault="001A68AF" w:rsidP="001A68AF">
      <w:pPr>
        <w:jc w:val="both"/>
        <w:rPr>
          <w:rFonts w:cs="Times New Roman"/>
        </w:rPr>
      </w:pPr>
      <w:r>
        <w:rPr>
          <w:rFonts w:cs="Times New Roman"/>
          <w:noProof/>
          <w:lang w:eastAsia="es-MX"/>
        </w:rPr>
        <w:t xml:space="preserve">Quejas en CNDH por </w:t>
      </w:r>
      <w:r w:rsidRPr="003B0B65">
        <w:rPr>
          <w:rFonts w:cs="Times New Roman"/>
          <w:szCs w:val="20"/>
        </w:rPr>
        <w:t>tortura y/o tratos crueles, inhumanos o degradantes</w:t>
      </w:r>
      <w:r>
        <w:rPr>
          <w:rFonts w:cs="Times New Roman"/>
          <w:szCs w:val="20"/>
        </w:rPr>
        <w:t xml:space="preserve">: </w:t>
      </w:r>
      <w:r w:rsidRPr="003B0B65">
        <w:rPr>
          <w:rFonts w:cs="Times New Roman"/>
          <w:szCs w:val="20"/>
        </w:rPr>
        <w:t xml:space="preserve">4,483 </w:t>
      </w:r>
      <w:r>
        <w:rPr>
          <w:rFonts w:cs="Times New Roman"/>
          <w:szCs w:val="20"/>
        </w:rPr>
        <w:t>que</w:t>
      </w:r>
      <w:r w:rsidRPr="003B0B65">
        <w:rPr>
          <w:rFonts w:cs="Times New Roman"/>
          <w:szCs w:val="20"/>
        </w:rPr>
        <w:t xml:space="preserve"> señalan a la SEDENA como autoridad responsable y SEMAR con 1,032. </w:t>
      </w:r>
    </w:p>
    <w:p w14:paraId="2BF9DBCA" w14:textId="77777777" w:rsidR="001A68AF" w:rsidRDefault="001A68AF" w:rsidP="001A68AF">
      <w:pPr>
        <w:jc w:val="both"/>
        <w:rPr>
          <w:rFonts w:cs="Times New Roman"/>
          <w:szCs w:val="20"/>
          <w:lang w:val="es-ES"/>
        </w:rPr>
      </w:pPr>
      <w:r w:rsidRPr="003B0B65">
        <w:rPr>
          <w:rFonts w:cs="Times New Roman"/>
          <w:szCs w:val="20"/>
          <w:lang w:val="es-ES"/>
        </w:rPr>
        <w:t>Recomendaciones: 118 incidentes de tortura</w:t>
      </w:r>
      <w:r>
        <w:rPr>
          <w:rFonts w:cs="Times New Roman"/>
          <w:szCs w:val="20"/>
          <w:lang w:val="es-ES"/>
        </w:rPr>
        <w:t xml:space="preserve"> que se identifica como autoridad responsable a la SEDENA</w:t>
      </w:r>
      <w:r w:rsidRPr="003B0B65">
        <w:rPr>
          <w:rFonts w:cs="Times New Roman"/>
          <w:szCs w:val="20"/>
          <w:lang w:val="es-ES"/>
        </w:rPr>
        <w:t xml:space="preserve">, mientras que la SEMAR participó en otros 78. </w:t>
      </w:r>
    </w:p>
    <w:p w14:paraId="2B7197F8" w14:textId="77777777" w:rsidR="001A68AF" w:rsidRPr="003B0B65" w:rsidRDefault="001A68AF" w:rsidP="001A68AF">
      <w:pPr>
        <w:jc w:val="both"/>
        <w:rPr>
          <w:rFonts w:cs="Times New Roman"/>
          <w:szCs w:val="20"/>
          <w:lang w:val="es-ES"/>
        </w:rPr>
      </w:pPr>
    </w:p>
    <w:p w14:paraId="3FDFD8CA" w14:textId="77777777" w:rsidR="001A68AF" w:rsidRPr="003B0B65" w:rsidRDefault="001A68AF" w:rsidP="001A68AF">
      <w:pPr>
        <w:pStyle w:val="Ttulo1"/>
        <w:spacing w:after="240"/>
        <w:jc w:val="both"/>
        <w:rPr>
          <w:rFonts w:ascii="Times New Roman" w:hAnsi="Times New Roman" w:cs="Times New Roman"/>
        </w:rPr>
      </w:pPr>
      <w:r w:rsidRPr="003B0B65">
        <w:rPr>
          <w:rFonts w:ascii="Times New Roman" w:hAnsi="Times New Roman" w:cs="Times New Roman"/>
        </w:rPr>
        <w:t>Homicidios</w:t>
      </w:r>
    </w:p>
    <w:p w14:paraId="098C931B" w14:textId="77777777" w:rsidR="001A68AF" w:rsidRPr="003B0B65" w:rsidRDefault="001A68AF" w:rsidP="001A68AF">
      <w:pPr>
        <w:spacing w:after="240"/>
        <w:jc w:val="both"/>
        <w:rPr>
          <w:rFonts w:cs="Times New Roman"/>
        </w:rPr>
      </w:pPr>
      <w:r w:rsidRPr="003B0B65">
        <w:rPr>
          <w:rFonts w:cs="Times New Roman"/>
        </w:rPr>
        <w:t>La Dirección General de Atención y Seguimiento a Recomendaciones y Conciliaciones en Materia de Derechos Humanos, adscrita a la Subprocuraduría de Derechos Humanos, Prevención del Delito y Serv</w:t>
      </w:r>
      <w:r>
        <w:rPr>
          <w:rFonts w:cs="Times New Roman"/>
        </w:rPr>
        <w:t>icios a la Comunidad, registró 9</w:t>
      </w:r>
      <w:r w:rsidRPr="003B0B65">
        <w:rPr>
          <w:rFonts w:cs="Times New Roman"/>
        </w:rPr>
        <w:t xml:space="preserve"> averiguaciones previas de 2014 a 2016 en las que estuvieron involucrados elementos de la SEDENA, SEMAR. </w:t>
      </w:r>
    </w:p>
    <w:tbl>
      <w:tblPr>
        <w:tblpPr w:leftFromText="141" w:rightFromText="141" w:vertAnchor="text" w:horzAnchor="page" w:tblpX="2981" w:tblpY="83"/>
        <w:tblW w:w="738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793"/>
        <w:gridCol w:w="1002"/>
        <w:gridCol w:w="2593"/>
      </w:tblGrid>
      <w:tr w:rsidR="001A68AF" w:rsidRPr="003B0B65" w14:paraId="60429DA4" w14:textId="77777777" w:rsidTr="00617C73">
        <w:trPr>
          <w:trHeight w:val="117"/>
        </w:trPr>
        <w:tc>
          <w:tcPr>
            <w:tcW w:w="7388" w:type="dxa"/>
            <w:gridSpan w:val="3"/>
            <w:tcBorders>
              <w:top w:val="single" w:sz="4" w:space="0" w:color="A5A5A5"/>
              <w:left w:val="single" w:sz="4" w:space="0" w:color="A5A5A5"/>
              <w:bottom w:val="single" w:sz="4" w:space="0" w:color="A5A5A5"/>
              <w:right w:val="single" w:sz="4" w:space="0" w:color="A5A5A5"/>
            </w:tcBorders>
            <w:shd w:val="clear" w:color="auto" w:fill="auto"/>
            <w:hideMark/>
          </w:tcPr>
          <w:p w14:paraId="70F41E7D" w14:textId="77777777" w:rsidR="001A68AF" w:rsidRPr="003B0B65" w:rsidRDefault="001A68AF" w:rsidP="00617C73">
            <w:pPr>
              <w:jc w:val="both"/>
              <w:rPr>
                <w:rFonts w:cs="Times New Roman"/>
                <w:b/>
                <w:szCs w:val="20"/>
              </w:rPr>
            </w:pPr>
            <w:r w:rsidRPr="003B0B65">
              <w:rPr>
                <w:rFonts w:cs="Times New Roman"/>
                <w:b/>
                <w:bCs/>
                <w:szCs w:val="20"/>
              </w:rPr>
              <w:t>Averiguaciones previas por el delito de homicidio cometido por servidor público</w:t>
            </w:r>
          </w:p>
        </w:tc>
      </w:tr>
      <w:tr w:rsidR="001A68AF" w:rsidRPr="003B0B65" w14:paraId="67323489" w14:textId="77777777" w:rsidTr="00617C73">
        <w:trPr>
          <w:trHeight w:val="185"/>
        </w:trPr>
        <w:tc>
          <w:tcPr>
            <w:tcW w:w="3793" w:type="dxa"/>
            <w:shd w:val="clear" w:color="auto" w:fill="EDEDED"/>
            <w:noWrap/>
            <w:hideMark/>
          </w:tcPr>
          <w:p w14:paraId="76A67CB5" w14:textId="77777777" w:rsidR="001A68AF" w:rsidRPr="003B0B65" w:rsidRDefault="001A68AF" w:rsidP="00617C73">
            <w:pPr>
              <w:jc w:val="both"/>
              <w:rPr>
                <w:rFonts w:cs="Times New Roman"/>
                <w:szCs w:val="20"/>
              </w:rPr>
            </w:pPr>
            <w:r w:rsidRPr="003B0B65">
              <w:rPr>
                <w:rFonts w:cs="Times New Roman"/>
                <w:b/>
                <w:bCs/>
                <w:szCs w:val="20"/>
              </w:rPr>
              <w:t>Averiguaciones previas</w:t>
            </w:r>
          </w:p>
        </w:tc>
        <w:tc>
          <w:tcPr>
            <w:tcW w:w="1002" w:type="dxa"/>
            <w:shd w:val="clear" w:color="auto" w:fill="EDEDED"/>
            <w:noWrap/>
            <w:hideMark/>
          </w:tcPr>
          <w:p w14:paraId="6C0B2DAD" w14:textId="77777777" w:rsidR="001A68AF" w:rsidRPr="003B0B65" w:rsidRDefault="001A68AF" w:rsidP="00617C73">
            <w:pPr>
              <w:jc w:val="both"/>
              <w:rPr>
                <w:rFonts w:cs="Times New Roman"/>
                <w:bCs/>
                <w:szCs w:val="20"/>
              </w:rPr>
            </w:pPr>
            <w:r w:rsidRPr="003B0B65">
              <w:rPr>
                <w:rFonts w:cs="Times New Roman"/>
                <w:bCs/>
                <w:szCs w:val="20"/>
              </w:rPr>
              <w:t>Año</w:t>
            </w:r>
          </w:p>
        </w:tc>
        <w:tc>
          <w:tcPr>
            <w:tcW w:w="2593" w:type="dxa"/>
            <w:shd w:val="clear" w:color="auto" w:fill="EDEDED"/>
            <w:noWrap/>
            <w:hideMark/>
          </w:tcPr>
          <w:p w14:paraId="03E444DB" w14:textId="77777777" w:rsidR="001A68AF" w:rsidRPr="003B0B65" w:rsidRDefault="001A68AF" w:rsidP="00617C73">
            <w:pPr>
              <w:jc w:val="both"/>
              <w:rPr>
                <w:rFonts w:cs="Times New Roman"/>
                <w:bCs/>
                <w:szCs w:val="20"/>
              </w:rPr>
            </w:pPr>
            <w:r w:rsidRPr="003B0B65">
              <w:rPr>
                <w:rFonts w:cs="Times New Roman"/>
                <w:bCs/>
                <w:szCs w:val="20"/>
              </w:rPr>
              <w:t>Autoridad</w:t>
            </w:r>
          </w:p>
        </w:tc>
      </w:tr>
      <w:tr w:rsidR="001A68AF" w:rsidRPr="003B0B65" w14:paraId="053503E9" w14:textId="77777777" w:rsidTr="00617C73">
        <w:trPr>
          <w:trHeight w:val="127"/>
        </w:trPr>
        <w:tc>
          <w:tcPr>
            <w:tcW w:w="3793" w:type="dxa"/>
            <w:shd w:val="clear" w:color="auto" w:fill="auto"/>
            <w:noWrap/>
            <w:hideMark/>
          </w:tcPr>
          <w:p w14:paraId="0C1667B4" w14:textId="77777777" w:rsidR="001A68AF" w:rsidRPr="003B0B65" w:rsidRDefault="001A68AF" w:rsidP="00617C73">
            <w:pPr>
              <w:jc w:val="both"/>
              <w:rPr>
                <w:rFonts w:cs="Times New Roman"/>
                <w:bCs/>
                <w:szCs w:val="20"/>
              </w:rPr>
            </w:pPr>
            <w:r w:rsidRPr="003B0B65">
              <w:rPr>
                <w:rFonts w:cs="Times New Roman"/>
                <w:b/>
                <w:bCs/>
                <w:szCs w:val="20"/>
              </w:rPr>
              <w:t>5</w:t>
            </w:r>
          </w:p>
        </w:tc>
        <w:tc>
          <w:tcPr>
            <w:tcW w:w="1002" w:type="dxa"/>
            <w:shd w:val="clear" w:color="auto" w:fill="auto"/>
            <w:noWrap/>
            <w:hideMark/>
          </w:tcPr>
          <w:p w14:paraId="52952880" w14:textId="77777777" w:rsidR="001A68AF" w:rsidRPr="003B0B65" w:rsidRDefault="001A68AF" w:rsidP="00617C73">
            <w:pPr>
              <w:jc w:val="both"/>
              <w:rPr>
                <w:rFonts w:cs="Times New Roman"/>
                <w:szCs w:val="20"/>
              </w:rPr>
            </w:pPr>
            <w:r w:rsidRPr="003B0B65">
              <w:rPr>
                <w:rFonts w:cs="Times New Roman"/>
                <w:szCs w:val="20"/>
              </w:rPr>
              <w:t>2014</w:t>
            </w:r>
          </w:p>
        </w:tc>
        <w:tc>
          <w:tcPr>
            <w:tcW w:w="2593" w:type="dxa"/>
            <w:shd w:val="clear" w:color="auto" w:fill="auto"/>
            <w:noWrap/>
            <w:hideMark/>
          </w:tcPr>
          <w:p w14:paraId="3F3F949C" w14:textId="77777777" w:rsidR="001A68AF" w:rsidRPr="003B0B65" w:rsidRDefault="001A68AF" w:rsidP="00617C73">
            <w:pPr>
              <w:jc w:val="both"/>
              <w:rPr>
                <w:rFonts w:cs="Times New Roman"/>
                <w:szCs w:val="20"/>
              </w:rPr>
            </w:pPr>
            <w:r w:rsidRPr="003B0B65">
              <w:rPr>
                <w:rFonts w:cs="Times New Roman"/>
                <w:szCs w:val="20"/>
              </w:rPr>
              <w:t>SEDENA</w:t>
            </w:r>
          </w:p>
        </w:tc>
      </w:tr>
      <w:tr w:rsidR="001A68AF" w:rsidRPr="003B0B65" w14:paraId="6A1B5F37" w14:textId="77777777" w:rsidTr="00617C73">
        <w:trPr>
          <w:trHeight w:val="142"/>
        </w:trPr>
        <w:tc>
          <w:tcPr>
            <w:tcW w:w="3793" w:type="dxa"/>
            <w:shd w:val="clear" w:color="auto" w:fill="EDEDED"/>
            <w:noWrap/>
            <w:hideMark/>
          </w:tcPr>
          <w:p w14:paraId="5DE3AFF3" w14:textId="77777777" w:rsidR="001A68AF" w:rsidRPr="003B0B65" w:rsidRDefault="001A68AF" w:rsidP="00617C73">
            <w:pPr>
              <w:jc w:val="both"/>
              <w:rPr>
                <w:rFonts w:cs="Times New Roman"/>
                <w:bCs/>
                <w:szCs w:val="20"/>
              </w:rPr>
            </w:pPr>
            <w:r w:rsidRPr="003B0B65">
              <w:rPr>
                <w:rFonts w:cs="Times New Roman"/>
                <w:b/>
                <w:bCs/>
                <w:szCs w:val="20"/>
              </w:rPr>
              <w:t>1</w:t>
            </w:r>
          </w:p>
        </w:tc>
        <w:tc>
          <w:tcPr>
            <w:tcW w:w="1002" w:type="dxa"/>
            <w:shd w:val="clear" w:color="auto" w:fill="EDEDED"/>
            <w:noWrap/>
            <w:hideMark/>
          </w:tcPr>
          <w:p w14:paraId="02E1E0DC" w14:textId="77777777" w:rsidR="001A68AF" w:rsidRPr="003B0B65" w:rsidRDefault="001A68AF" w:rsidP="00617C73">
            <w:pPr>
              <w:jc w:val="both"/>
              <w:rPr>
                <w:rFonts w:cs="Times New Roman"/>
                <w:szCs w:val="20"/>
              </w:rPr>
            </w:pPr>
            <w:r w:rsidRPr="003B0B65">
              <w:rPr>
                <w:rFonts w:cs="Times New Roman"/>
                <w:szCs w:val="20"/>
              </w:rPr>
              <w:t>2014</w:t>
            </w:r>
          </w:p>
        </w:tc>
        <w:tc>
          <w:tcPr>
            <w:tcW w:w="2593" w:type="dxa"/>
            <w:shd w:val="clear" w:color="auto" w:fill="EDEDED"/>
            <w:noWrap/>
            <w:hideMark/>
          </w:tcPr>
          <w:p w14:paraId="2E7C1AC2" w14:textId="77777777" w:rsidR="001A68AF" w:rsidRPr="003B0B65" w:rsidRDefault="001A68AF" w:rsidP="00617C73">
            <w:pPr>
              <w:jc w:val="both"/>
              <w:rPr>
                <w:rFonts w:cs="Times New Roman"/>
                <w:szCs w:val="20"/>
              </w:rPr>
            </w:pPr>
            <w:r w:rsidRPr="003B0B65">
              <w:rPr>
                <w:rFonts w:cs="Times New Roman"/>
                <w:szCs w:val="20"/>
              </w:rPr>
              <w:t>SEMAR</w:t>
            </w:r>
          </w:p>
        </w:tc>
      </w:tr>
      <w:tr w:rsidR="001A68AF" w:rsidRPr="003B0B65" w14:paraId="124D2C95" w14:textId="77777777" w:rsidTr="00617C73">
        <w:trPr>
          <w:trHeight w:val="46"/>
        </w:trPr>
        <w:tc>
          <w:tcPr>
            <w:tcW w:w="3793" w:type="dxa"/>
            <w:shd w:val="clear" w:color="auto" w:fill="auto"/>
            <w:noWrap/>
            <w:hideMark/>
          </w:tcPr>
          <w:p w14:paraId="3720B08D" w14:textId="77777777" w:rsidR="001A68AF" w:rsidRPr="003B0B65" w:rsidRDefault="001A68AF" w:rsidP="00617C73">
            <w:pPr>
              <w:jc w:val="both"/>
              <w:rPr>
                <w:rFonts w:cs="Times New Roman"/>
                <w:bCs/>
                <w:szCs w:val="20"/>
              </w:rPr>
            </w:pPr>
            <w:r w:rsidRPr="003B0B65">
              <w:rPr>
                <w:rFonts w:cs="Times New Roman"/>
                <w:b/>
                <w:bCs/>
                <w:szCs w:val="20"/>
              </w:rPr>
              <w:t>1</w:t>
            </w:r>
          </w:p>
        </w:tc>
        <w:tc>
          <w:tcPr>
            <w:tcW w:w="1002" w:type="dxa"/>
            <w:shd w:val="clear" w:color="auto" w:fill="auto"/>
            <w:noWrap/>
            <w:hideMark/>
          </w:tcPr>
          <w:p w14:paraId="7C21D674" w14:textId="77777777" w:rsidR="001A68AF" w:rsidRPr="003B0B65" w:rsidRDefault="001A68AF" w:rsidP="00617C73">
            <w:pPr>
              <w:jc w:val="both"/>
              <w:rPr>
                <w:rFonts w:cs="Times New Roman"/>
                <w:szCs w:val="20"/>
              </w:rPr>
            </w:pPr>
            <w:r w:rsidRPr="003B0B65">
              <w:rPr>
                <w:rFonts w:cs="Times New Roman"/>
                <w:szCs w:val="20"/>
              </w:rPr>
              <w:t>2015</w:t>
            </w:r>
          </w:p>
        </w:tc>
        <w:tc>
          <w:tcPr>
            <w:tcW w:w="2593" w:type="dxa"/>
            <w:shd w:val="clear" w:color="auto" w:fill="auto"/>
            <w:noWrap/>
            <w:hideMark/>
          </w:tcPr>
          <w:p w14:paraId="392D1A0D" w14:textId="77777777" w:rsidR="001A68AF" w:rsidRPr="003B0B65" w:rsidRDefault="001A68AF" w:rsidP="00617C73">
            <w:pPr>
              <w:jc w:val="both"/>
              <w:rPr>
                <w:rFonts w:cs="Times New Roman"/>
                <w:szCs w:val="20"/>
              </w:rPr>
            </w:pPr>
            <w:r w:rsidRPr="003B0B65">
              <w:rPr>
                <w:rFonts w:cs="Times New Roman"/>
                <w:szCs w:val="20"/>
              </w:rPr>
              <w:t>SEDENA</w:t>
            </w:r>
          </w:p>
        </w:tc>
      </w:tr>
      <w:tr w:rsidR="001A68AF" w:rsidRPr="003B0B65" w14:paraId="08C669B4" w14:textId="77777777" w:rsidTr="00617C73">
        <w:trPr>
          <w:trHeight w:val="117"/>
        </w:trPr>
        <w:tc>
          <w:tcPr>
            <w:tcW w:w="3793" w:type="dxa"/>
            <w:shd w:val="clear" w:color="auto" w:fill="auto"/>
            <w:noWrap/>
            <w:hideMark/>
          </w:tcPr>
          <w:p w14:paraId="35B40B06" w14:textId="77777777" w:rsidR="001A68AF" w:rsidRPr="003B0B65" w:rsidRDefault="001A68AF" w:rsidP="00617C73">
            <w:pPr>
              <w:jc w:val="both"/>
              <w:rPr>
                <w:rFonts w:cs="Times New Roman"/>
                <w:bCs/>
                <w:szCs w:val="20"/>
              </w:rPr>
            </w:pPr>
            <w:r w:rsidRPr="003B0B65">
              <w:rPr>
                <w:rFonts w:cs="Times New Roman"/>
                <w:b/>
                <w:bCs/>
                <w:szCs w:val="20"/>
              </w:rPr>
              <w:t>1</w:t>
            </w:r>
          </w:p>
        </w:tc>
        <w:tc>
          <w:tcPr>
            <w:tcW w:w="1002" w:type="dxa"/>
            <w:shd w:val="clear" w:color="auto" w:fill="auto"/>
            <w:noWrap/>
            <w:hideMark/>
          </w:tcPr>
          <w:p w14:paraId="5717B62D" w14:textId="77777777" w:rsidR="001A68AF" w:rsidRPr="003B0B65" w:rsidRDefault="001A68AF" w:rsidP="00617C73">
            <w:pPr>
              <w:jc w:val="both"/>
              <w:rPr>
                <w:rFonts w:cs="Times New Roman"/>
                <w:szCs w:val="20"/>
              </w:rPr>
            </w:pPr>
            <w:r w:rsidRPr="003B0B65">
              <w:rPr>
                <w:rFonts w:cs="Times New Roman"/>
                <w:szCs w:val="20"/>
              </w:rPr>
              <w:t>2016</w:t>
            </w:r>
          </w:p>
        </w:tc>
        <w:tc>
          <w:tcPr>
            <w:tcW w:w="2593" w:type="dxa"/>
            <w:shd w:val="clear" w:color="auto" w:fill="auto"/>
            <w:noWrap/>
            <w:hideMark/>
          </w:tcPr>
          <w:p w14:paraId="43B4C3C0" w14:textId="77777777" w:rsidR="001A68AF" w:rsidRPr="003B0B65" w:rsidRDefault="001A68AF" w:rsidP="00617C73">
            <w:pPr>
              <w:jc w:val="both"/>
              <w:rPr>
                <w:rFonts w:cs="Times New Roman"/>
                <w:szCs w:val="20"/>
              </w:rPr>
            </w:pPr>
            <w:r w:rsidRPr="003B0B65">
              <w:rPr>
                <w:rFonts w:cs="Times New Roman"/>
                <w:szCs w:val="20"/>
              </w:rPr>
              <w:t>SEMAR</w:t>
            </w:r>
          </w:p>
        </w:tc>
      </w:tr>
      <w:tr w:rsidR="001A68AF" w:rsidRPr="003B0B65" w14:paraId="76612D81" w14:textId="77777777" w:rsidTr="00617C73">
        <w:trPr>
          <w:trHeight w:val="117"/>
        </w:trPr>
        <w:tc>
          <w:tcPr>
            <w:tcW w:w="3793" w:type="dxa"/>
            <w:shd w:val="clear" w:color="auto" w:fill="EDEDED"/>
            <w:noWrap/>
            <w:hideMark/>
          </w:tcPr>
          <w:p w14:paraId="3ED1E6C6" w14:textId="77777777" w:rsidR="001A68AF" w:rsidRPr="003B0B65" w:rsidRDefault="001A68AF" w:rsidP="00617C73">
            <w:pPr>
              <w:jc w:val="both"/>
              <w:rPr>
                <w:rFonts w:cs="Times New Roman"/>
                <w:bCs/>
                <w:szCs w:val="20"/>
              </w:rPr>
            </w:pPr>
            <w:r w:rsidRPr="003B0B65">
              <w:rPr>
                <w:rFonts w:cs="Times New Roman"/>
                <w:b/>
                <w:bCs/>
                <w:szCs w:val="20"/>
              </w:rPr>
              <w:t>1</w:t>
            </w:r>
          </w:p>
        </w:tc>
        <w:tc>
          <w:tcPr>
            <w:tcW w:w="1002" w:type="dxa"/>
            <w:shd w:val="clear" w:color="auto" w:fill="EDEDED"/>
            <w:noWrap/>
            <w:hideMark/>
          </w:tcPr>
          <w:p w14:paraId="158EFF3E" w14:textId="77777777" w:rsidR="001A68AF" w:rsidRPr="003B0B65" w:rsidRDefault="001A68AF" w:rsidP="00617C73">
            <w:pPr>
              <w:jc w:val="both"/>
              <w:rPr>
                <w:rFonts w:cs="Times New Roman"/>
                <w:szCs w:val="20"/>
              </w:rPr>
            </w:pPr>
            <w:r w:rsidRPr="003B0B65">
              <w:rPr>
                <w:rFonts w:cs="Times New Roman"/>
                <w:szCs w:val="20"/>
              </w:rPr>
              <w:t>2016</w:t>
            </w:r>
          </w:p>
        </w:tc>
        <w:tc>
          <w:tcPr>
            <w:tcW w:w="2593" w:type="dxa"/>
            <w:shd w:val="clear" w:color="auto" w:fill="EDEDED"/>
            <w:noWrap/>
            <w:hideMark/>
          </w:tcPr>
          <w:p w14:paraId="29E2A1AD" w14:textId="77777777" w:rsidR="001A68AF" w:rsidRPr="003B0B65" w:rsidRDefault="001A68AF" w:rsidP="00617C73">
            <w:pPr>
              <w:jc w:val="both"/>
              <w:rPr>
                <w:rFonts w:cs="Times New Roman"/>
                <w:szCs w:val="20"/>
              </w:rPr>
            </w:pPr>
            <w:r w:rsidRPr="003B0B65">
              <w:rPr>
                <w:rFonts w:cs="Times New Roman"/>
                <w:szCs w:val="20"/>
              </w:rPr>
              <w:t>SEDENA</w:t>
            </w:r>
          </w:p>
        </w:tc>
      </w:tr>
    </w:tbl>
    <w:p w14:paraId="091BAEE5" w14:textId="77777777" w:rsidR="001A68AF" w:rsidRPr="003B0B65" w:rsidRDefault="001A68AF" w:rsidP="001A68AF">
      <w:pPr>
        <w:spacing w:after="240"/>
        <w:jc w:val="both"/>
        <w:rPr>
          <w:rFonts w:cs="Times New Roman"/>
          <w:b/>
        </w:rPr>
      </w:pPr>
    </w:p>
    <w:p w14:paraId="06113294" w14:textId="77777777" w:rsidR="001A68AF" w:rsidRPr="003B0B65" w:rsidRDefault="001A68AF" w:rsidP="001A68AF">
      <w:pPr>
        <w:spacing w:after="240"/>
        <w:jc w:val="both"/>
        <w:rPr>
          <w:rFonts w:cs="Times New Roman"/>
          <w:b/>
        </w:rPr>
      </w:pPr>
    </w:p>
    <w:p w14:paraId="5CCE11C2" w14:textId="77777777" w:rsidR="001A68AF" w:rsidRPr="003B0B65" w:rsidRDefault="001A68AF" w:rsidP="001A68AF">
      <w:pPr>
        <w:spacing w:after="240"/>
        <w:jc w:val="both"/>
        <w:rPr>
          <w:rFonts w:cs="Times New Roman"/>
          <w:b/>
        </w:rPr>
      </w:pPr>
    </w:p>
    <w:p w14:paraId="688C2FF1" w14:textId="77777777" w:rsidR="001A68AF" w:rsidRPr="003B0B65" w:rsidRDefault="001A68AF" w:rsidP="001A68AF">
      <w:pPr>
        <w:spacing w:after="240"/>
        <w:jc w:val="both"/>
        <w:rPr>
          <w:rFonts w:cs="Times New Roman"/>
          <w:b/>
        </w:rPr>
      </w:pPr>
    </w:p>
    <w:p w14:paraId="6518230A" w14:textId="77777777" w:rsidR="001A68AF" w:rsidRDefault="001A68AF" w:rsidP="001A68AF">
      <w:pPr>
        <w:spacing w:before="240" w:after="240"/>
        <w:jc w:val="both"/>
        <w:rPr>
          <w:rFonts w:cs="Times New Roman"/>
          <w:b/>
        </w:rPr>
      </w:pPr>
    </w:p>
    <w:p w14:paraId="6A052573" w14:textId="77777777" w:rsidR="001A68AF" w:rsidRPr="003B0B65" w:rsidRDefault="001A68AF" w:rsidP="001A68AF">
      <w:pPr>
        <w:spacing w:after="240"/>
        <w:jc w:val="both"/>
        <w:rPr>
          <w:rFonts w:cs="Times New Roman"/>
          <w:b/>
        </w:rPr>
      </w:pPr>
      <w:r w:rsidRPr="003B0B65">
        <w:rPr>
          <w:rFonts w:cs="Times New Roman"/>
        </w:rPr>
        <w:t>Recomendaciones: la Secre</w:t>
      </w:r>
      <w:r>
        <w:rPr>
          <w:rFonts w:cs="Times New Roman"/>
        </w:rPr>
        <w:t xml:space="preserve">taría de Marina responsable en </w:t>
      </w:r>
      <w:r w:rsidRPr="003B0B65">
        <w:rPr>
          <w:rFonts w:cs="Times New Roman"/>
        </w:rPr>
        <w:t>8 incidentes y a la Secretaría de la Defensa en 35.</w:t>
      </w:r>
    </w:p>
    <w:p w14:paraId="627A9F6A" w14:textId="77777777" w:rsidR="001A68AF" w:rsidRPr="003B0B65" w:rsidRDefault="001A68AF" w:rsidP="001A68AF">
      <w:pPr>
        <w:pStyle w:val="Ttulo1"/>
        <w:jc w:val="both"/>
        <w:rPr>
          <w:rFonts w:ascii="Times New Roman" w:hAnsi="Times New Roman" w:cs="Times New Roman"/>
        </w:rPr>
      </w:pPr>
      <w:r w:rsidRPr="003B0B65">
        <w:rPr>
          <w:rFonts w:ascii="Times New Roman" w:hAnsi="Times New Roman" w:cs="Times New Roman"/>
        </w:rPr>
        <w:t>Enfrentamientos</w:t>
      </w:r>
    </w:p>
    <w:p w14:paraId="1542A244" w14:textId="77777777" w:rsidR="001A68AF" w:rsidRPr="003B0B65" w:rsidRDefault="001A68AF" w:rsidP="001A68AF">
      <w:pPr>
        <w:spacing w:after="240"/>
        <w:jc w:val="both"/>
        <w:rPr>
          <w:rFonts w:cs="Times New Roman"/>
          <w:b/>
        </w:rPr>
      </w:pPr>
      <w:r w:rsidRPr="003B0B65">
        <w:rPr>
          <w:rFonts w:cs="Times New Roman"/>
        </w:rPr>
        <w:t>De 2006 a marzo de 2017, hubo un despliegue de 540,214 elementos de la SEDENA y 100,481 elementos de la SEMAR en apoyo a las fuerzas de seguridad pública para el combate al narcotráfico.</w:t>
      </w:r>
    </w:p>
    <w:p w14:paraId="3857CEBD" w14:textId="77777777" w:rsidR="001A68AF" w:rsidRPr="003B0B65" w:rsidRDefault="001A68AF" w:rsidP="001A68AF">
      <w:pPr>
        <w:spacing w:after="240"/>
        <w:jc w:val="both"/>
        <w:rPr>
          <w:rFonts w:cs="Times New Roman"/>
        </w:rPr>
      </w:pPr>
      <w:r>
        <w:rPr>
          <w:rFonts w:cs="Times New Roman"/>
        </w:rPr>
        <w:t xml:space="preserve">Enfrentamientos: </w:t>
      </w:r>
      <w:r w:rsidRPr="003B0B65">
        <w:rPr>
          <w:rFonts w:cs="Times New Roman"/>
        </w:rPr>
        <w:t>La SEDENA informó sobre un total de 3,966 agresiones (enfrentamientos) en contra de personal militar con disparos de arma de fuego por integrantes de la delincuencia organizada en el periodo comprendido entre el añ</w:t>
      </w:r>
      <w:r>
        <w:rPr>
          <w:rFonts w:cs="Times New Roman"/>
        </w:rPr>
        <w:t>o 2007 y el 22 de marzo de 2017.</w:t>
      </w:r>
    </w:p>
    <w:p w14:paraId="1BA2FFCE" w14:textId="77777777" w:rsidR="001A68AF" w:rsidRPr="003B0B65" w:rsidRDefault="001A68AF" w:rsidP="001A68AF">
      <w:pPr>
        <w:spacing w:after="240"/>
        <w:jc w:val="both"/>
        <w:rPr>
          <w:rFonts w:cs="Times New Roman"/>
        </w:rPr>
      </w:pPr>
      <w:r w:rsidRPr="003B0B65">
        <w:rPr>
          <w:rFonts w:cs="Times New Roman"/>
        </w:rPr>
        <w:t>La Secretaría de la Defensa Nacional informó que en el periodo 13 de enero de 2007 al 5 de abril 2014 (SEDENA, 2015)</w:t>
      </w:r>
      <w:r w:rsidRPr="003B0B65">
        <w:rPr>
          <w:rFonts w:cs="Times New Roman"/>
          <w:vertAlign w:val="superscript"/>
        </w:rPr>
        <w:t xml:space="preserve"> </w:t>
      </w:r>
      <w:r w:rsidRPr="003B0B65">
        <w:rPr>
          <w:rFonts w:cs="Times New Roman"/>
        </w:rPr>
        <w:t xml:space="preserve">se registraron: </w:t>
      </w:r>
    </w:p>
    <w:p w14:paraId="573C3ED4" w14:textId="77777777" w:rsidR="001A68AF" w:rsidRPr="003B0B65" w:rsidRDefault="001A68AF" w:rsidP="001A68AF">
      <w:pPr>
        <w:numPr>
          <w:ilvl w:val="0"/>
          <w:numId w:val="2"/>
        </w:numPr>
        <w:jc w:val="both"/>
        <w:rPr>
          <w:rFonts w:cs="Times New Roman"/>
        </w:rPr>
      </w:pPr>
      <w:r w:rsidRPr="003B0B65">
        <w:rPr>
          <w:rFonts w:cs="Times New Roman"/>
        </w:rPr>
        <w:t xml:space="preserve">Fallecidos: 209 militares; 3,907 agresores y 60 víctimas ajenas a los hechos </w:t>
      </w:r>
    </w:p>
    <w:p w14:paraId="3D431F4F" w14:textId="77777777" w:rsidR="001A68AF" w:rsidRPr="003B0B65" w:rsidRDefault="001A68AF" w:rsidP="001A68AF">
      <w:pPr>
        <w:numPr>
          <w:ilvl w:val="0"/>
          <w:numId w:val="2"/>
        </w:numPr>
        <w:jc w:val="both"/>
        <w:rPr>
          <w:rFonts w:cs="Times New Roman"/>
        </w:rPr>
      </w:pPr>
      <w:r w:rsidRPr="003B0B65">
        <w:rPr>
          <w:rFonts w:cs="Times New Roman"/>
        </w:rPr>
        <w:t xml:space="preserve">Heridos: 1,184 militares; 1,061 agresores y 213 víctimas ajenas a los hechos heridas. </w:t>
      </w:r>
    </w:p>
    <w:p w14:paraId="531500CD" w14:textId="77777777" w:rsidR="001A68AF" w:rsidRPr="003B0B65" w:rsidRDefault="001A68AF" w:rsidP="001A68AF">
      <w:pPr>
        <w:numPr>
          <w:ilvl w:val="0"/>
          <w:numId w:val="2"/>
        </w:numPr>
        <w:spacing w:after="240"/>
        <w:jc w:val="both"/>
        <w:rPr>
          <w:rFonts w:cs="Times New Roman"/>
        </w:rPr>
      </w:pPr>
      <w:r w:rsidRPr="003B0B65">
        <w:rPr>
          <w:rFonts w:cs="Times New Roman"/>
        </w:rPr>
        <w:t>Detenidos: 3,946 agresores.</w:t>
      </w:r>
    </w:p>
    <w:p w14:paraId="67CC8FE9" w14:textId="77777777" w:rsidR="001A68AF" w:rsidRDefault="001A68AF" w:rsidP="001A68AF">
      <w:pPr>
        <w:spacing w:after="240"/>
        <w:jc w:val="both"/>
        <w:rPr>
          <w:rFonts w:cs="Times New Roman"/>
        </w:rPr>
      </w:pPr>
      <w:r w:rsidRPr="003B0B65">
        <w:rPr>
          <w:rFonts w:cs="Times New Roman"/>
        </w:rPr>
        <w:t xml:space="preserve">Es importante mencionar que, a partir del 6 de abril de 2014, la SEDENA ya no da continuidad a registros de presuntos agresores muertos y heridos en enfrentamientos ya que mencionan, lo hace la Procuraduría General de la República. </w:t>
      </w:r>
    </w:p>
    <w:p w14:paraId="2DB9DCE0" w14:textId="77777777" w:rsidR="001A68AF" w:rsidRPr="003B0B65" w:rsidRDefault="001A68AF" w:rsidP="001A68AF">
      <w:pPr>
        <w:spacing w:after="240"/>
        <w:jc w:val="both"/>
        <w:rPr>
          <w:rFonts w:cs="Times New Roman"/>
        </w:rPr>
      </w:pPr>
      <w:r w:rsidRPr="003B0B65">
        <w:rPr>
          <w:rFonts w:cs="Times New Roman"/>
        </w:rPr>
        <w:t>La Secretaría de Marina Armada de México, por su parte, informó sobre un total de 320 agre</w:t>
      </w:r>
      <w:r>
        <w:rPr>
          <w:rFonts w:cs="Times New Roman"/>
        </w:rPr>
        <w:t>siones de 2007 a abril de 2017.</w:t>
      </w:r>
    </w:p>
    <w:p w14:paraId="4E5B412F" w14:textId="77777777" w:rsidR="001A68AF" w:rsidRPr="003B0B65" w:rsidRDefault="001A68AF" w:rsidP="001A68AF">
      <w:pPr>
        <w:spacing w:after="240"/>
        <w:jc w:val="both"/>
        <w:rPr>
          <w:rFonts w:cs="Times New Roman"/>
        </w:rPr>
      </w:pPr>
      <w:r w:rsidRPr="003B0B65">
        <w:rPr>
          <w:rFonts w:cs="Times New Roman"/>
        </w:rPr>
        <w:t xml:space="preserve">En el periodo de 2012 </w:t>
      </w:r>
      <w:r>
        <w:rPr>
          <w:rFonts w:cs="Times New Roman"/>
        </w:rPr>
        <w:t>a 2014:</w:t>
      </w:r>
    </w:p>
    <w:p w14:paraId="1DE090AD" w14:textId="77777777" w:rsidR="001A68AF" w:rsidRPr="003B0B65" w:rsidRDefault="001A68AF" w:rsidP="001A68AF">
      <w:pPr>
        <w:numPr>
          <w:ilvl w:val="0"/>
          <w:numId w:val="2"/>
        </w:numPr>
        <w:jc w:val="both"/>
        <w:rPr>
          <w:rFonts w:cs="Times New Roman"/>
        </w:rPr>
      </w:pPr>
      <w:r w:rsidRPr="003B0B65">
        <w:rPr>
          <w:rFonts w:cs="Times New Roman"/>
        </w:rPr>
        <w:t>Personal naval herido: 60</w:t>
      </w:r>
    </w:p>
    <w:p w14:paraId="4B1B0634" w14:textId="77777777" w:rsidR="001A68AF" w:rsidRPr="003B0B65" w:rsidRDefault="001A68AF" w:rsidP="001A68AF">
      <w:pPr>
        <w:numPr>
          <w:ilvl w:val="0"/>
          <w:numId w:val="2"/>
        </w:numPr>
        <w:jc w:val="both"/>
        <w:rPr>
          <w:rFonts w:cs="Times New Roman"/>
        </w:rPr>
      </w:pPr>
      <w:r w:rsidRPr="003B0B65">
        <w:rPr>
          <w:rFonts w:cs="Times New Roman"/>
        </w:rPr>
        <w:t>Personal naval muerto: 14</w:t>
      </w:r>
    </w:p>
    <w:p w14:paraId="66C9CC0F" w14:textId="77777777" w:rsidR="001A68AF" w:rsidRPr="003B0B65" w:rsidRDefault="001A68AF" w:rsidP="001A68AF">
      <w:pPr>
        <w:numPr>
          <w:ilvl w:val="0"/>
          <w:numId w:val="2"/>
        </w:numPr>
        <w:jc w:val="both"/>
        <w:rPr>
          <w:rFonts w:cs="Times New Roman"/>
        </w:rPr>
      </w:pPr>
      <w:r w:rsidRPr="003B0B65">
        <w:rPr>
          <w:rFonts w:cs="Times New Roman"/>
        </w:rPr>
        <w:t>Civiles heridos (delincuencia organizada): 10</w:t>
      </w:r>
    </w:p>
    <w:p w14:paraId="66A64D1D" w14:textId="77777777" w:rsidR="001A68AF" w:rsidRPr="003B0B65" w:rsidRDefault="001A68AF" w:rsidP="001A68AF">
      <w:pPr>
        <w:numPr>
          <w:ilvl w:val="0"/>
          <w:numId w:val="2"/>
        </w:numPr>
        <w:jc w:val="both"/>
        <w:rPr>
          <w:rFonts w:cs="Times New Roman"/>
        </w:rPr>
      </w:pPr>
      <w:r w:rsidRPr="003B0B65">
        <w:rPr>
          <w:rFonts w:cs="Times New Roman"/>
        </w:rPr>
        <w:t>Civiles muertos (delincuencia organizada): 271</w:t>
      </w:r>
    </w:p>
    <w:p w14:paraId="14E9406F" w14:textId="77777777" w:rsidR="001A68AF" w:rsidRPr="003B0B65" w:rsidRDefault="001A68AF" w:rsidP="001A68AF">
      <w:pPr>
        <w:numPr>
          <w:ilvl w:val="0"/>
          <w:numId w:val="2"/>
        </w:numPr>
        <w:jc w:val="both"/>
        <w:rPr>
          <w:rFonts w:cs="Times New Roman"/>
        </w:rPr>
      </w:pPr>
      <w:r w:rsidRPr="003B0B65">
        <w:rPr>
          <w:rFonts w:cs="Times New Roman"/>
        </w:rPr>
        <w:t>Detenidos: 102</w:t>
      </w:r>
    </w:p>
    <w:p w14:paraId="53598F35" w14:textId="77777777" w:rsidR="001A68AF" w:rsidRPr="001A19BB" w:rsidRDefault="001A68AF" w:rsidP="001A68AF">
      <w:pPr>
        <w:numPr>
          <w:ilvl w:val="0"/>
          <w:numId w:val="2"/>
        </w:numPr>
        <w:spacing w:after="240"/>
        <w:jc w:val="both"/>
        <w:rPr>
          <w:rFonts w:cs="Times New Roman"/>
        </w:rPr>
      </w:pPr>
      <w:r w:rsidRPr="003B0B65">
        <w:rPr>
          <w:rFonts w:cs="Times New Roman"/>
        </w:rPr>
        <w:t>Enfrentamientos: 135</w:t>
      </w:r>
    </w:p>
    <w:p w14:paraId="2DD7B687" w14:textId="77777777" w:rsidR="001A68AF" w:rsidRPr="003B0B65" w:rsidRDefault="001A68AF" w:rsidP="001A68AF">
      <w:pPr>
        <w:pStyle w:val="Ttulo1"/>
        <w:spacing w:after="240"/>
        <w:rPr>
          <w:rFonts w:ascii="Times New Roman" w:hAnsi="Times New Roman" w:cs="Times New Roman"/>
        </w:rPr>
      </w:pPr>
      <w:r w:rsidRPr="003B0B65">
        <w:rPr>
          <w:rFonts w:ascii="Times New Roman" w:hAnsi="Times New Roman" w:cs="Times New Roman"/>
        </w:rPr>
        <w:t>Desaparición</w:t>
      </w:r>
    </w:p>
    <w:p w14:paraId="47821D74" w14:textId="77777777" w:rsidR="001A68AF" w:rsidRPr="003B0B65" w:rsidRDefault="001A68AF" w:rsidP="001A68AF">
      <w:pPr>
        <w:jc w:val="both"/>
        <w:rPr>
          <w:rFonts w:cs="Times New Roman"/>
        </w:rPr>
      </w:pPr>
      <w:r>
        <w:rPr>
          <w:rFonts w:cs="Times New Roman"/>
        </w:rPr>
        <w:t xml:space="preserve">Recomendaciones de CNDH: se identifica como autoridad responsable a </w:t>
      </w:r>
      <w:r w:rsidRPr="003B0B65">
        <w:rPr>
          <w:rFonts w:cs="Times New Roman"/>
        </w:rPr>
        <w:t>la Secretaría de Marina en 15 incidentes y a la Secretaría de la Defensa en 33.</w:t>
      </w:r>
    </w:p>
    <w:p w14:paraId="65B0BEC2" w14:textId="77777777" w:rsidR="001A68AF" w:rsidRPr="003B0B65" w:rsidRDefault="001A68AF" w:rsidP="001A68AF">
      <w:pPr>
        <w:spacing w:after="240"/>
        <w:jc w:val="both"/>
        <w:rPr>
          <w:rFonts w:cs="Times New Roman"/>
          <w:shd w:val="clear" w:color="auto" w:fill="FFFFFF"/>
        </w:rPr>
      </w:pPr>
      <w:r w:rsidRPr="003B0B65">
        <w:rPr>
          <w:rFonts w:cs="Times New Roman"/>
          <w:shd w:val="clear" w:color="auto" w:fill="FFFFFF"/>
        </w:rPr>
        <w:t>El siguiente cuadro representa el número de víctimas a manos de militares por hechos de desaparición forzada:</w:t>
      </w:r>
    </w:p>
    <w:tbl>
      <w:tblPr>
        <w:tblW w:w="488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3"/>
        <w:gridCol w:w="1827"/>
      </w:tblGrid>
      <w:tr w:rsidR="001A68AF" w:rsidRPr="003B0B65" w14:paraId="79A82BAB" w14:textId="77777777" w:rsidTr="00617C73">
        <w:trPr>
          <w:jc w:val="center"/>
        </w:trPr>
        <w:tc>
          <w:tcPr>
            <w:tcW w:w="3053" w:type="dxa"/>
            <w:shd w:val="clear" w:color="auto" w:fill="auto"/>
            <w:hideMark/>
          </w:tcPr>
          <w:p w14:paraId="48930D97" w14:textId="77777777" w:rsidR="001A68AF" w:rsidRPr="003B0B65" w:rsidRDefault="001A68AF" w:rsidP="00617C73">
            <w:pPr>
              <w:rPr>
                <w:rFonts w:cs="Times New Roman"/>
                <w:b/>
                <w:bCs/>
              </w:rPr>
            </w:pPr>
            <w:r w:rsidRPr="003B0B65">
              <w:rPr>
                <w:rFonts w:cs="Times New Roman"/>
                <w:b/>
                <w:bCs/>
              </w:rPr>
              <w:t>Unidad responsable de desaparición</w:t>
            </w:r>
          </w:p>
        </w:tc>
        <w:tc>
          <w:tcPr>
            <w:tcW w:w="1827" w:type="dxa"/>
            <w:shd w:val="clear" w:color="auto" w:fill="auto"/>
            <w:hideMark/>
          </w:tcPr>
          <w:p w14:paraId="4C7D3006" w14:textId="77777777" w:rsidR="001A68AF" w:rsidRPr="003B0B65" w:rsidRDefault="001A68AF" w:rsidP="00617C73">
            <w:pPr>
              <w:rPr>
                <w:rFonts w:cs="Times New Roman"/>
                <w:b/>
                <w:bCs/>
              </w:rPr>
            </w:pPr>
            <w:r w:rsidRPr="003B0B65">
              <w:rPr>
                <w:rFonts w:cs="Times New Roman"/>
                <w:b/>
                <w:bCs/>
              </w:rPr>
              <w:t>Número de víctimas</w:t>
            </w:r>
          </w:p>
        </w:tc>
      </w:tr>
      <w:tr w:rsidR="001A68AF" w:rsidRPr="003B0B65" w14:paraId="2CCEE7F0" w14:textId="77777777" w:rsidTr="00617C73">
        <w:trPr>
          <w:jc w:val="center"/>
        </w:trPr>
        <w:tc>
          <w:tcPr>
            <w:tcW w:w="3053" w:type="dxa"/>
            <w:shd w:val="clear" w:color="auto" w:fill="F2F2F2"/>
            <w:hideMark/>
          </w:tcPr>
          <w:p w14:paraId="43A048FD" w14:textId="77777777" w:rsidR="001A68AF" w:rsidRPr="003B0B65" w:rsidRDefault="001A68AF" w:rsidP="00617C73">
            <w:pPr>
              <w:jc w:val="both"/>
              <w:rPr>
                <w:rFonts w:cs="Times New Roman"/>
                <w:b/>
                <w:bCs/>
              </w:rPr>
            </w:pPr>
            <w:r w:rsidRPr="003B0B65">
              <w:rPr>
                <w:rFonts w:cs="Times New Roman"/>
                <w:b/>
                <w:bCs/>
              </w:rPr>
              <w:t>Fuerza Naval</w:t>
            </w:r>
          </w:p>
        </w:tc>
        <w:tc>
          <w:tcPr>
            <w:tcW w:w="1827" w:type="dxa"/>
            <w:shd w:val="clear" w:color="auto" w:fill="F2F2F2"/>
            <w:hideMark/>
          </w:tcPr>
          <w:p w14:paraId="771CF423" w14:textId="77777777" w:rsidR="001A68AF" w:rsidRPr="003B0B65" w:rsidRDefault="001A68AF" w:rsidP="00617C73">
            <w:pPr>
              <w:jc w:val="both"/>
              <w:rPr>
                <w:rFonts w:cs="Times New Roman"/>
              </w:rPr>
            </w:pPr>
            <w:r w:rsidRPr="003B0B65">
              <w:rPr>
                <w:rFonts w:cs="Times New Roman"/>
              </w:rPr>
              <w:t>18</w:t>
            </w:r>
          </w:p>
        </w:tc>
      </w:tr>
      <w:tr w:rsidR="001A68AF" w:rsidRPr="003B0B65" w14:paraId="1CB6138F" w14:textId="77777777" w:rsidTr="00617C73">
        <w:trPr>
          <w:jc w:val="center"/>
        </w:trPr>
        <w:tc>
          <w:tcPr>
            <w:tcW w:w="3053" w:type="dxa"/>
            <w:shd w:val="clear" w:color="auto" w:fill="auto"/>
            <w:hideMark/>
          </w:tcPr>
          <w:p w14:paraId="18A4BA88" w14:textId="77777777" w:rsidR="001A68AF" w:rsidRPr="003B0B65" w:rsidRDefault="001A68AF" w:rsidP="00617C73">
            <w:pPr>
              <w:jc w:val="both"/>
              <w:rPr>
                <w:rFonts w:cs="Times New Roman"/>
                <w:b/>
                <w:bCs/>
              </w:rPr>
            </w:pPr>
            <w:r w:rsidRPr="003B0B65">
              <w:rPr>
                <w:rFonts w:cs="Times New Roman"/>
                <w:b/>
                <w:bCs/>
              </w:rPr>
              <w:t>Ejército</w:t>
            </w:r>
          </w:p>
        </w:tc>
        <w:tc>
          <w:tcPr>
            <w:tcW w:w="1827" w:type="dxa"/>
            <w:shd w:val="clear" w:color="auto" w:fill="auto"/>
            <w:hideMark/>
          </w:tcPr>
          <w:p w14:paraId="0294ACCE" w14:textId="77777777" w:rsidR="001A68AF" w:rsidRPr="003B0B65" w:rsidRDefault="001A68AF" w:rsidP="00617C73">
            <w:pPr>
              <w:jc w:val="both"/>
              <w:rPr>
                <w:rFonts w:cs="Times New Roman"/>
              </w:rPr>
            </w:pPr>
            <w:r w:rsidRPr="003B0B65">
              <w:rPr>
                <w:rFonts w:cs="Times New Roman"/>
              </w:rPr>
              <w:t>85</w:t>
            </w:r>
          </w:p>
        </w:tc>
      </w:tr>
    </w:tbl>
    <w:p w14:paraId="10191BB0" w14:textId="77777777" w:rsidR="001A68AF" w:rsidRDefault="001A68AF" w:rsidP="001A68AF">
      <w:pPr>
        <w:jc w:val="both"/>
        <w:rPr>
          <w:rFonts w:cs="Times New Roman"/>
        </w:rPr>
      </w:pPr>
    </w:p>
    <w:p w14:paraId="2E47E50A" w14:textId="77777777" w:rsidR="001A68AF" w:rsidRPr="00473525" w:rsidRDefault="001A68AF" w:rsidP="001A68AF">
      <w:pPr>
        <w:jc w:val="both"/>
        <w:rPr>
          <w:rFonts w:cs="Times New Roman"/>
        </w:rPr>
      </w:pPr>
      <w:r w:rsidRPr="003B0B65">
        <w:rPr>
          <w:rFonts w:cs="Times New Roman"/>
        </w:rPr>
        <w:t>De esas personas desaparecidas, en 13 ocasiones se le ubica como el último paradero de la persona en Cuarteles Militares.</w:t>
      </w:r>
    </w:p>
    <w:p w14:paraId="172A69A8" w14:textId="77777777" w:rsidR="001A68AF" w:rsidRPr="003B0B65" w:rsidRDefault="001A68AF" w:rsidP="001A68AF">
      <w:pPr>
        <w:spacing w:after="240"/>
        <w:jc w:val="both"/>
        <w:rPr>
          <w:rFonts w:cs="Times New Roman"/>
          <w:shd w:val="clear" w:color="auto" w:fill="FFFFFF"/>
        </w:rPr>
      </w:pPr>
      <w:r w:rsidRPr="003B0B65">
        <w:rPr>
          <w:rFonts w:cs="Times New Roman"/>
          <w:shd w:val="clear" w:color="auto" w:fill="FFFFFF"/>
        </w:rPr>
        <w:t xml:space="preserve">Las siguientes son las unidades de la SEDENA que aparecen como responsables de la comisión de desaparición forzada, al menos: 17 batallones y regimientos; 3 guarniciones militares, 1 brigada de fuerzas especiales; 6 zonas militares y 4 regiones militares. Se tienen dos sospechosos identificados responsables de la desaparición. </w:t>
      </w:r>
    </w:p>
    <w:p w14:paraId="51240E46" w14:textId="77777777" w:rsidR="001A68AF" w:rsidRPr="003B0B65" w:rsidRDefault="001A68AF" w:rsidP="001A68AF">
      <w:pPr>
        <w:spacing w:after="240"/>
        <w:jc w:val="both"/>
        <w:rPr>
          <w:rFonts w:cs="Times New Roman"/>
          <w:shd w:val="clear" w:color="auto" w:fill="FFFFFF"/>
        </w:rPr>
      </w:pPr>
      <w:r w:rsidRPr="003B0B65">
        <w:rPr>
          <w:rFonts w:cs="Times New Roman"/>
          <w:noProof/>
          <w:lang w:eastAsia="es-ES_tradnl"/>
        </w:rPr>
        <w:drawing>
          <wp:anchor distT="0" distB="0" distL="114300" distR="114300" simplePos="0" relativeHeight="251659264" behindDoc="0" locked="0" layoutInCell="1" allowOverlap="1" wp14:anchorId="3B6F1C15" wp14:editId="30951810">
            <wp:simplePos x="0" y="0"/>
            <wp:positionH relativeFrom="column">
              <wp:posOffset>4308475</wp:posOffset>
            </wp:positionH>
            <wp:positionV relativeFrom="paragraph">
              <wp:posOffset>3810</wp:posOffset>
            </wp:positionV>
            <wp:extent cx="1819275" cy="1457960"/>
            <wp:effectExtent l="0" t="0" r="9525"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B65">
        <w:rPr>
          <w:rFonts w:cs="Times New Roman"/>
          <w:noProof/>
          <w:lang w:eastAsia="es-ES_tradnl"/>
        </w:rPr>
        <w:drawing>
          <wp:anchor distT="0" distB="0" distL="114300" distR="114300" simplePos="0" relativeHeight="251660288" behindDoc="0" locked="0" layoutInCell="1" allowOverlap="1" wp14:anchorId="62C8EDC2" wp14:editId="51562469">
            <wp:simplePos x="0" y="0"/>
            <wp:positionH relativeFrom="column">
              <wp:posOffset>2273300</wp:posOffset>
            </wp:positionH>
            <wp:positionV relativeFrom="paragraph">
              <wp:posOffset>3810</wp:posOffset>
            </wp:positionV>
            <wp:extent cx="1990725" cy="8401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B65">
        <w:rPr>
          <w:rFonts w:cs="Times New Roman"/>
          <w:noProof/>
          <w:lang w:eastAsia="es-ES_tradnl"/>
        </w:rPr>
        <w:drawing>
          <wp:anchor distT="0" distB="0" distL="114300" distR="114300" simplePos="0" relativeHeight="251662336" behindDoc="0" locked="0" layoutInCell="1" allowOverlap="1" wp14:anchorId="70BFB06D" wp14:editId="04E02F1A">
            <wp:simplePos x="0" y="0"/>
            <wp:positionH relativeFrom="column">
              <wp:posOffset>-127000</wp:posOffset>
            </wp:positionH>
            <wp:positionV relativeFrom="paragraph">
              <wp:posOffset>10795</wp:posOffset>
            </wp:positionV>
            <wp:extent cx="2325370" cy="271780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6EC4" w14:textId="77777777" w:rsidR="001A68AF" w:rsidRPr="003B0B65" w:rsidRDefault="001A68AF" w:rsidP="001A68AF">
      <w:pPr>
        <w:spacing w:after="240"/>
        <w:jc w:val="both"/>
        <w:rPr>
          <w:rFonts w:cs="Times New Roman"/>
          <w:shd w:val="clear" w:color="auto" w:fill="FFFFFF"/>
        </w:rPr>
      </w:pPr>
    </w:p>
    <w:p w14:paraId="2F5A3F27" w14:textId="77777777" w:rsidR="001A68AF" w:rsidRPr="003B0B65" w:rsidRDefault="001A68AF" w:rsidP="001A68AF">
      <w:pPr>
        <w:rPr>
          <w:rFonts w:cs="Times New Roman"/>
          <w:vanish/>
        </w:rPr>
      </w:pPr>
      <w:r w:rsidRPr="003B0B65">
        <w:rPr>
          <w:rFonts w:cs="Times New Roman"/>
          <w:noProof/>
          <w:lang w:eastAsia="es-ES_tradnl"/>
        </w:rPr>
        <w:drawing>
          <wp:anchor distT="0" distB="0" distL="114300" distR="114300" simplePos="0" relativeHeight="251661312" behindDoc="0" locked="0" layoutInCell="1" allowOverlap="1" wp14:anchorId="277BA255" wp14:editId="4D0F5EF6">
            <wp:simplePos x="0" y="0"/>
            <wp:positionH relativeFrom="column">
              <wp:posOffset>2286000</wp:posOffset>
            </wp:positionH>
            <wp:positionV relativeFrom="paragraph">
              <wp:posOffset>165735</wp:posOffset>
            </wp:positionV>
            <wp:extent cx="1971675" cy="2032000"/>
            <wp:effectExtent l="0" t="0" r="9525"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58F04" w14:textId="77777777" w:rsidR="001A68AF" w:rsidRPr="003B0B65" w:rsidRDefault="001A68AF" w:rsidP="001A68AF">
      <w:pPr>
        <w:spacing w:after="240"/>
        <w:jc w:val="both"/>
        <w:rPr>
          <w:rFonts w:cs="Times New Roman"/>
          <w:shd w:val="clear" w:color="auto" w:fill="FFFFFF"/>
        </w:rPr>
      </w:pPr>
    </w:p>
    <w:p w14:paraId="05BC49C0" w14:textId="77777777" w:rsidR="001A68AF" w:rsidRPr="003B0B65" w:rsidRDefault="001A68AF" w:rsidP="001A68AF">
      <w:pPr>
        <w:spacing w:after="240"/>
        <w:jc w:val="both"/>
        <w:rPr>
          <w:rFonts w:cs="Times New Roman"/>
          <w:shd w:val="clear" w:color="auto" w:fill="FFFFFF"/>
        </w:rPr>
      </w:pPr>
    </w:p>
    <w:p w14:paraId="2365EE31" w14:textId="77777777" w:rsidR="001A68AF" w:rsidRPr="003B0B65" w:rsidRDefault="001A68AF" w:rsidP="001A68AF">
      <w:pPr>
        <w:spacing w:after="240"/>
        <w:jc w:val="both"/>
        <w:rPr>
          <w:rFonts w:cs="Times New Roman"/>
          <w:shd w:val="clear" w:color="auto" w:fill="FFFFFF"/>
        </w:rPr>
      </w:pPr>
    </w:p>
    <w:p w14:paraId="186FA46C" w14:textId="77777777" w:rsidR="001A68AF" w:rsidRPr="003B0B65" w:rsidRDefault="001A68AF" w:rsidP="001A68AF">
      <w:pPr>
        <w:spacing w:after="240"/>
        <w:jc w:val="both"/>
        <w:rPr>
          <w:rFonts w:cs="Times New Roman"/>
          <w:shd w:val="clear" w:color="auto" w:fill="FFFFFF"/>
        </w:rPr>
      </w:pPr>
    </w:p>
    <w:p w14:paraId="0E0375D0" w14:textId="77777777" w:rsidR="001A68AF" w:rsidRPr="003B0B65" w:rsidRDefault="001A68AF" w:rsidP="001A68AF">
      <w:pPr>
        <w:spacing w:after="240"/>
        <w:jc w:val="both"/>
        <w:rPr>
          <w:rFonts w:cs="Times New Roman"/>
          <w:shd w:val="clear" w:color="auto" w:fill="FFFFFF"/>
        </w:rPr>
      </w:pPr>
    </w:p>
    <w:p w14:paraId="35CB7758" w14:textId="77777777" w:rsidR="001A68AF" w:rsidRPr="003B0B65" w:rsidRDefault="001A68AF" w:rsidP="001A68AF">
      <w:pPr>
        <w:spacing w:after="240"/>
        <w:jc w:val="both"/>
        <w:rPr>
          <w:rFonts w:cs="Times New Roman"/>
          <w:shd w:val="clear" w:color="auto" w:fill="FFFFFF"/>
        </w:rPr>
      </w:pPr>
    </w:p>
    <w:p w14:paraId="59AE2915" w14:textId="77777777" w:rsidR="001A68AF" w:rsidRPr="003B0B65" w:rsidRDefault="001A68AF" w:rsidP="001A68AF">
      <w:pPr>
        <w:spacing w:after="240"/>
        <w:jc w:val="both"/>
        <w:rPr>
          <w:rFonts w:cs="Times New Roman"/>
          <w:shd w:val="clear" w:color="auto" w:fill="FFFFFF"/>
        </w:rPr>
      </w:pPr>
    </w:p>
    <w:p w14:paraId="096AFABA" w14:textId="77777777" w:rsidR="001A68AF" w:rsidRPr="003B0B65" w:rsidRDefault="001A68AF" w:rsidP="001A68AF">
      <w:pPr>
        <w:spacing w:after="240"/>
        <w:jc w:val="both"/>
        <w:rPr>
          <w:rFonts w:cs="Times New Roman"/>
          <w:shd w:val="clear" w:color="auto" w:fill="FFFFFF"/>
        </w:rPr>
      </w:pPr>
      <w:r w:rsidRPr="003B0B65">
        <w:rPr>
          <w:rFonts w:cs="Times New Roman"/>
          <w:shd w:val="clear" w:color="auto" w:fill="FFFFFF"/>
        </w:rPr>
        <w:t>De la SEMAR se evidencia la participación, al menos de la Región Naval 1 y Zona Naval número 1 y 3.</w:t>
      </w:r>
    </w:p>
    <w:p w14:paraId="68215ADB" w14:textId="77777777" w:rsidR="001A68AF" w:rsidRPr="003B0B65" w:rsidRDefault="001A68AF" w:rsidP="001A68AF">
      <w:pPr>
        <w:jc w:val="both"/>
        <w:rPr>
          <w:rFonts w:cs="Times New Roman"/>
        </w:rPr>
      </w:pPr>
    </w:p>
    <w:p w14:paraId="62A7609E" w14:textId="77777777" w:rsidR="0002329E" w:rsidRDefault="0002329E" w:rsidP="0002329E">
      <w:pPr>
        <w:spacing w:line="276" w:lineRule="auto"/>
        <w:jc w:val="both"/>
      </w:pPr>
    </w:p>
    <w:sectPr w:rsidR="0002329E" w:rsidSect="009A46A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07258" w14:textId="77777777" w:rsidR="002D3B05" w:rsidRDefault="002D3B05" w:rsidP="001A68AF">
      <w:r>
        <w:separator/>
      </w:r>
    </w:p>
  </w:endnote>
  <w:endnote w:type="continuationSeparator" w:id="0">
    <w:p w14:paraId="271F0996" w14:textId="77777777" w:rsidR="002D3B05" w:rsidRDefault="002D3B05" w:rsidP="001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26FC" w14:textId="77777777" w:rsidR="002D3B05" w:rsidRDefault="002D3B05" w:rsidP="001A68AF">
      <w:r>
        <w:separator/>
      </w:r>
    </w:p>
  </w:footnote>
  <w:footnote w:type="continuationSeparator" w:id="0">
    <w:p w14:paraId="482AFDBB" w14:textId="77777777" w:rsidR="002D3B05" w:rsidRDefault="002D3B05" w:rsidP="001A68AF">
      <w:r>
        <w:continuationSeparator/>
      </w:r>
    </w:p>
  </w:footnote>
  <w:footnote w:id="1">
    <w:p w14:paraId="38F431BE"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Al 21 de agosto de 2017, la CNDH recibió 88,566 quejas.</w:t>
      </w:r>
    </w:p>
  </w:footnote>
  <w:footnote w:id="2">
    <w:p w14:paraId="0B250DF5"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CNDH. Solicitudes de información folios: 3510000073217 y 3510000072917.</w:t>
      </w:r>
    </w:p>
  </w:footnote>
  <w:footnote w:id="3">
    <w:p w14:paraId="279531DE"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PGR. Solicitud de información folio: 0001700020115.</w:t>
      </w:r>
    </w:p>
  </w:footnote>
  <w:footnote w:id="4">
    <w:p w14:paraId="21A6DE87"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El número de investigaciones se desglosa en: 890 expedientes de averiguación previa iniciados durante los años 2015 y 2016 y 255 carpetas de investigación abiertas de 2015 y 2017 en contra de personal de la SEDENA.</w:t>
      </w:r>
    </w:p>
  </w:footnote>
  <w:footnote w:id="5">
    <w:p w14:paraId="19B3A275"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PGR. Solicitud de información: 0001700219617. </w:t>
      </w:r>
    </w:p>
  </w:footnote>
  <w:footnote w:id="6">
    <w:p w14:paraId="1B6C2BF0" w14:textId="77777777" w:rsidR="001A68AF" w:rsidRPr="00E33687" w:rsidRDefault="001A68AF" w:rsidP="001A68AF">
      <w:pPr>
        <w:pStyle w:val="Textonotapie"/>
        <w:jc w:val="both"/>
        <w:rPr>
          <w:rFonts w:ascii="Times New Roman" w:hAnsi="Times New Roman"/>
          <w:sz w:val="16"/>
          <w:szCs w:val="16"/>
          <w:lang w:val="es-MX"/>
        </w:rPr>
      </w:pPr>
      <w:r w:rsidRPr="00E33687">
        <w:rPr>
          <w:rStyle w:val="Refdenotaalpie"/>
          <w:rFonts w:ascii="Times New Roman" w:hAnsi="Times New Roman"/>
          <w:sz w:val="16"/>
          <w:szCs w:val="16"/>
        </w:rPr>
        <w:footnoteRef/>
      </w:r>
      <w:r w:rsidRPr="00E33687">
        <w:rPr>
          <w:rFonts w:ascii="Times New Roman" w:hAnsi="Times New Roman"/>
          <w:sz w:val="16"/>
          <w:szCs w:val="16"/>
          <w:lang w:val="es-MX"/>
        </w:rPr>
        <w:t xml:space="preserve"> SEDENA. Solicitud de información folio: 000070022717.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4611"/>
    <w:multiLevelType w:val="hybridMultilevel"/>
    <w:tmpl w:val="42BC86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15310CF"/>
    <w:multiLevelType w:val="hybridMultilevel"/>
    <w:tmpl w:val="BFB405E0"/>
    <w:lvl w:ilvl="0" w:tplc="5CC2059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7A"/>
    <w:rsid w:val="0002329E"/>
    <w:rsid w:val="00053DFB"/>
    <w:rsid w:val="00074566"/>
    <w:rsid w:val="00092257"/>
    <w:rsid w:val="001165CF"/>
    <w:rsid w:val="00166A15"/>
    <w:rsid w:val="00171AA5"/>
    <w:rsid w:val="001A68AF"/>
    <w:rsid w:val="001A6C92"/>
    <w:rsid w:val="001C657A"/>
    <w:rsid w:val="0024669E"/>
    <w:rsid w:val="00254EBD"/>
    <w:rsid w:val="002A4311"/>
    <w:rsid w:val="002D1825"/>
    <w:rsid w:val="002D3B05"/>
    <w:rsid w:val="00304BE7"/>
    <w:rsid w:val="00317FBC"/>
    <w:rsid w:val="004F3183"/>
    <w:rsid w:val="005B579B"/>
    <w:rsid w:val="005D73C8"/>
    <w:rsid w:val="00962FB7"/>
    <w:rsid w:val="00973737"/>
    <w:rsid w:val="009A46AB"/>
    <w:rsid w:val="009F7E66"/>
    <w:rsid w:val="00DF258D"/>
    <w:rsid w:val="00FF0E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EB5D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68A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A15"/>
    <w:pPr>
      <w:ind w:left="720"/>
      <w:contextualSpacing/>
    </w:pPr>
  </w:style>
  <w:style w:type="character" w:customStyle="1" w:styleId="Ttulo1Car">
    <w:name w:val="Título 1 Car"/>
    <w:basedOn w:val="Fuentedeprrafopredeter"/>
    <w:link w:val="Ttulo1"/>
    <w:uiPriority w:val="9"/>
    <w:rsid w:val="001A68AF"/>
    <w:rPr>
      <w:rFonts w:asciiTheme="majorHAnsi" w:eastAsiaTheme="majorEastAsia" w:hAnsiTheme="majorHAnsi" w:cstheme="majorBidi"/>
      <w:color w:val="2F5496" w:themeColor="accent1" w:themeShade="BF"/>
      <w:sz w:val="32"/>
      <w:szCs w:val="32"/>
      <w:lang w:val="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fn"/>
    <w:basedOn w:val="Normal"/>
    <w:link w:val="TextonotapieCar"/>
    <w:uiPriority w:val="99"/>
    <w:unhideWhenUsed/>
    <w:qFormat/>
    <w:rsid w:val="001A68AF"/>
    <w:rPr>
      <w:rFonts w:ascii="Calibri" w:eastAsia="Times New Roman" w:hAnsi="Calibri" w:cs="Times New Roman"/>
      <w:sz w:val="20"/>
      <w:szCs w:val="20"/>
      <w:lang w:val="en-US" w:eastAsia="ja-JP"/>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A68AF"/>
    <w:rPr>
      <w:rFonts w:ascii="Calibri" w:eastAsia="Times New Roman" w:hAnsi="Calibri" w:cs="Times New Roman"/>
      <w:sz w:val="20"/>
      <w:szCs w:val="20"/>
      <w:lang w:val="en-US" w:eastAsia="ja-JP"/>
    </w:rPr>
  </w:style>
  <w:style w:type="character" w:styleId="Refdenotaalpie">
    <w:name w:val="footnote reference"/>
    <w:aliases w:val="Texto nota al pie,Texto de nota al pie,Footnotes refss,Appel note de bas de page,Footnote number,referencia nota al pie,BVI fnr,f,4_G,16 Point,Superscript 6 Point,Ref. de nota al pie 2,Footnote Reference Char3,Footnote symbol,Ref"/>
    <w:uiPriority w:val="99"/>
    <w:unhideWhenUsed/>
    <w:qFormat/>
    <w:rsid w:val="001A6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1523</Words>
  <Characters>8377</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Piña</dc:creator>
  <cp:keywords/>
  <dc:description/>
  <cp:lastModifiedBy>Brenda Piña</cp:lastModifiedBy>
  <cp:revision>2</cp:revision>
  <dcterms:created xsi:type="dcterms:W3CDTF">2017-11-29T15:32:00Z</dcterms:created>
  <dcterms:modified xsi:type="dcterms:W3CDTF">2017-11-30T00:08:00Z</dcterms:modified>
</cp:coreProperties>
</file>